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97" w:rsidRPr="00D00897" w:rsidRDefault="00D00897" w:rsidP="00D00897">
      <w:pPr>
        <w:shd w:val="clear" w:color="auto" w:fill="FFFFFF"/>
        <w:spacing w:after="0" w:line="240" w:lineRule="auto"/>
        <w:outlineLvl w:val="0"/>
        <w:rPr>
          <w:rFonts w:ascii="Georgia" w:eastAsia="Times New Roman" w:hAnsi="Georgia" w:cs="Lucida Sans Unicode"/>
          <w:b/>
          <w:bCs/>
          <w:color w:val="0099CC"/>
          <w:kern w:val="36"/>
          <w:sz w:val="35"/>
          <w:szCs w:val="35"/>
          <w:lang w:eastAsia="it-IT"/>
        </w:rPr>
      </w:pPr>
      <w:r w:rsidRPr="00D00897">
        <w:rPr>
          <w:rFonts w:ascii="Georgia" w:eastAsia="Times New Roman" w:hAnsi="Georgia" w:cs="Lucida Sans Unicode"/>
          <w:b/>
          <w:bCs/>
          <w:color w:val="0099CC"/>
          <w:kern w:val="36"/>
          <w:sz w:val="35"/>
          <w:szCs w:val="35"/>
          <w:lang w:eastAsia="it-IT"/>
        </w:rPr>
        <w:t>D.lgs. 81/08: la valutazione del rischio dovuto ai fulmini</w:t>
      </w:r>
    </w:p>
    <w:p w:rsidR="008835ED" w:rsidRDefault="00D00897" w:rsidP="00D00897">
      <w:pPr>
        <w:rPr>
          <w:rFonts w:ascii="Lucida Sans Unicode" w:eastAsia="Times New Roman" w:hAnsi="Lucida Sans Unicode" w:cs="Lucida Sans Unicode"/>
          <w:b/>
          <w:bCs/>
          <w:color w:val="333333"/>
          <w:sz w:val="20"/>
          <w:szCs w:val="20"/>
          <w:lang w:eastAsia="it-IT"/>
        </w:rPr>
      </w:pPr>
      <w:r w:rsidRPr="00D00897">
        <w:rPr>
          <w:rFonts w:ascii="Lucida Sans Unicode" w:eastAsia="Times New Roman" w:hAnsi="Lucida Sans Unicode" w:cs="Lucida Sans Unicode"/>
          <w:color w:val="333333"/>
          <w:sz w:val="20"/>
          <w:szCs w:val="20"/>
          <w:lang w:eastAsia="it-IT"/>
        </w:rPr>
        <w:br/>
      </w:r>
      <w:r w:rsidRPr="00D00897">
        <w:rPr>
          <w:rFonts w:ascii="Lucida Sans Unicode" w:eastAsia="Times New Roman" w:hAnsi="Lucida Sans Unicode" w:cs="Lucida Sans Unicode"/>
          <w:b/>
          <w:bCs/>
          <w:color w:val="333333"/>
          <w:sz w:val="20"/>
          <w:szCs w:val="20"/>
          <w:lang w:eastAsia="it-IT"/>
        </w:rPr>
        <w:t>Informazioni sugli impianti di protezione contro i fulmini con particolare riferimenti alle leggi in vigore, alle nuove normative tecniche, alla valutazione e rivalutazione dei rischi, alle misure di prevenzione e ad alcuni esempi pratici.</w:t>
      </w:r>
    </w:p>
    <w:p w:rsidR="00D00897" w:rsidRDefault="00D00897" w:rsidP="00D00897">
      <w:pPr>
        <w:rPr>
          <w:rFonts w:ascii="Lucida Sans Unicode" w:eastAsia="Times New Roman" w:hAnsi="Lucida Sans Unicode" w:cs="Lucida Sans Unicode"/>
          <w:b/>
          <w:bCs/>
          <w:color w:val="333333"/>
          <w:sz w:val="20"/>
          <w:szCs w:val="20"/>
          <w:lang w:eastAsia="it-IT"/>
        </w:rPr>
      </w:pPr>
    </w:p>
    <w:p w:rsidR="00D00897" w:rsidRDefault="00D00897" w:rsidP="00D00897">
      <w:r>
        <w:rPr>
          <w:rStyle w:val="Enfasigrassetto"/>
          <w:rFonts w:ascii="Verdana" w:hAnsi="Verdana" w:cs="Lucida Sans Unicode"/>
          <w:color w:val="333333"/>
          <w:sz w:val="20"/>
          <w:szCs w:val="20"/>
        </w:rPr>
        <w:t>Normativa</w:t>
      </w:r>
      <w:r>
        <w:rPr>
          <w:rFonts w:ascii="Verdana" w:hAnsi="Verdana" w:cs="Lucida Sans Unicode"/>
          <w:b/>
          <w:bCs/>
          <w:color w:val="333333"/>
          <w:sz w:val="20"/>
          <w:szCs w:val="20"/>
        </w:rPr>
        <w:br/>
      </w:r>
      <w:r>
        <w:rPr>
          <w:rFonts w:ascii="Verdana" w:hAnsi="Verdana" w:cs="Lucida Sans Unicode"/>
          <w:color w:val="333333"/>
          <w:sz w:val="20"/>
          <w:szCs w:val="20"/>
        </w:rPr>
        <w:t xml:space="preserve">Il documento ricorda che con l’applicazione del </w:t>
      </w:r>
      <w:hyperlink r:id="rId5" w:history="1">
        <w:r>
          <w:rPr>
            <w:rStyle w:val="Collegamentoipertestuale"/>
            <w:rFonts w:ascii="Verdana" w:hAnsi="Verdana" w:cs="Lucida Sans Unicode"/>
            <w:sz w:val="20"/>
            <w:szCs w:val="20"/>
          </w:rPr>
          <w:t>Decreto legislativo 81/2008</w:t>
        </w:r>
      </w:hyperlink>
      <w:r>
        <w:rPr>
          <w:rFonts w:ascii="Verdana" w:hAnsi="Verdana" w:cs="Lucida Sans Unicode"/>
          <w:color w:val="333333"/>
          <w:sz w:val="20"/>
          <w:szCs w:val="20"/>
        </w:rPr>
        <w:t xml:space="preserve"> vengono abrogate le norme relative all’ art. 38 del D.P.R. 547/55 (Scariche atmosferiche). </w:t>
      </w:r>
      <w:r>
        <w:rPr>
          <w:rFonts w:ascii="Verdana" w:hAnsi="Verdana" w:cs="Lucida Sans Unicode"/>
          <w:color w:val="333333"/>
          <w:sz w:val="20"/>
          <w:szCs w:val="20"/>
        </w:rPr>
        <w:br/>
        <w:t xml:space="preserve">La formulazione dell’articolo 39 dello stesso D.P.R. - </w:t>
      </w:r>
      <w:r>
        <w:rPr>
          <w:rStyle w:val="Enfasicorsivo"/>
          <w:rFonts w:ascii="Verdana" w:hAnsi="Verdana" w:cs="Lucida Sans Unicode"/>
          <w:color w:val="333333"/>
          <w:sz w:val="20"/>
          <w:szCs w:val="20"/>
        </w:rPr>
        <w:t>le strutture metalliche degli edifici e delle opere provvisionali, i recipienti e gli apparecchi metallici, di notevoli dimensioni, situati all’aperto, devono, per se stessi e mediante conduttore e spandenti appositi, risultare collegati elettricamente a terra in modo da garantire la dispersione delle scariche atmosferiche</w:t>
      </w:r>
      <w:r>
        <w:rPr>
          <w:rFonts w:ascii="Verdana" w:hAnsi="Verdana" w:cs="Lucida Sans Unicode"/>
          <w:color w:val="333333"/>
          <w:sz w:val="20"/>
          <w:szCs w:val="20"/>
        </w:rPr>
        <w:t xml:space="preserve"> -  inizialmente presente nel Testo Unico, è stata poi abrogata dal </w:t>
      </w:r>
      <w:hyperlink r:id="rId6" w:history="1">
        <w:proofErr w:type="spellStart"/>
        <w:r>
          <w:rPr>
            <w:rStyle w:val="Collegamentoipertestuale"/>
            <w:rFonts w:ascii="Verdana" w:hAnsi="Verdana" w:cs="Lucida Sans Unicode"/>
            <w:sz w:val="20"/>
            <w:szCs w:val="20"/>
          </w:rPr>
          <w:t>D.Lgs.</w:t>
        </w:r>
        <w:proofErr w:type="spellEnd"/>
        <w:r>
          <w:rPr>
            <w:rStyle w:val="Collegamentoipertestuale"/>
            <w:rFonts w:ascii="Verdana" w:hAnsi="Verdana" w:cs="Lucida Sans Unicode"/>
            <w:sz w:val="20"/>
            <w:szCs w:val="20"/>
          </w:rPr>
          <w:t xml:space="preserve"> 106/2009</w:t>
        </w:r>
      </w:hyperlink>
      <w:r>
        <w:rPr>
          <w:rFonts w:ascii="Verdana" w:hAnsi="Verdana" w:cs="Lucida Sans Unicode"/>
          <w:color w:val="333333"/>
          <w:sz w:val="20"/>
          <w:szCs w:val="20"/>
        </w:rPr>
        <w:t xml:space="preserve">: ora gli articoli in vigore su questo tema nel </w:t>
      </w:r>
      <w:proofErr w:type="spellStart"/>
      <w:r>
        <w:rPr>
          <w:rFonts w:ascii="Verdana" w:hAnsi="Verdana" w:cs="Lucida Sans Unicode"/>
          <w:color w:val="333333"/>
          <w:sz w:val="20"/>
          <w:szCs w:val="20"/>
        </w:rPr>
        <w:t>D.Lgs.</w:t>
      </w:r>
      <w:proofErr w:type="spellEnd"/>
      <w:r>
        <w:rPr>
          <w:rFonts w:ascii="Verdana" w:hAnsi="Verdana" w:cs="Lucida Sans Unicode"/>
          <w:color w:val="333333"/>
          <w:sz w:val="20"/>
          <w:szCs w:val="20"/>
        </w:rPr>
        <w:t xml:space="preserve"> 81/2008 sono l’art. 29 e l’art. 84. </w:t>
      </w:r>
      <w:r>
        <w:rPr>
          <w:rFonts w:ascii="Verdana" w:hAnsi="Verdana" w:cs="Lucida Sans Unicode"/>
          <w:color w:val="333333"/>
          <w:sz w:val="20"/>
          <w:szCs w:val="20"/>
        </w:rPr>
        <w:br/>
        <w:t xml:space="preserve">L’art. 29 (Modalità di effettuazione della valutazione dei rischi) “fa carico al Datore di Lavoro di valutare tutti i rischi per la sicurezza e la salute dei lavoratori, compreso ovviamente il </w:t>
      </w:r>
      <w:hyperlink r:id="rId7" w:history="1">
        <w:r>
          <w:rPr>
            <w:rStyle w:val="Collegamentoipertestuale"/>
            <w:rFonts w:ascii="Verdana" w:hAnsi="Verdana" w:cs="Lucida Sans Unicode"/>
            <w:sz w:val="20"/>
            <w:szCs w:val="20"/>
          </w:rPr>
          <w:t>rischio dovuto al fulmine</w:t>
        </w:r>
      </w:hyperlink>
      <w:r>
        <w:rPr>
          <w:rFonts w:ascii="Verdana" w:hAnsi="Verdana" w:cs="Lucida Sans Unicode"/>
          <w:color w:val="333333"/>
          <w:sz w:val="20"/>
          <w:szCs w:val="20"/>
        </w:rPr>
        <w:t xml:space="preserve"> e tale obbligo prescinde dalle dimensioni e dalla natura , metallica o non metallica, della struttura”.</w:t>
      </w:r>
      <w:r>
        <w:rPr>
          <w:rFonts w:ascii="Verdana" w:hAnsi="Verdana" w:cs="Lucida Sans Unicode"/>
          <w:color w:val="333333"/>
          <w:sz w:val="20"/>
          <w:szCs w:val="20"/>
        </w:rPr>
        <w:br/>
        <w:t xml:space="preserve">L’art. 84 (Protezione dai fulmini), corretto dal </w:t>
      </w:r>
      <w:hyperlink r:id="rId8" w:history="1">
        <w:proofErr w:type="spellStart"/>
        <w:r>
          <w:rPr>
            <w:rStyle w:val="Collegamentoipertestuale"/>
            <w:rFonts w:ascii="Verdana" w:hAnsi="Verdana" w:cs="Lucida Sans Unicode"/>
            <w:sz w:val="20"/>
            <w:szCs w:val="20"/>
          </w:rPr>
          <w:t>D.Lgs.</w:t>
        </w:r>
        <w:proofErr w:type="spellEnd"/>
        <w:r>
          <w:rPr>
            <w:rStyle w:val="Collegamentoipertestuale"/>
            <w:rFonts w:ascii="Verdana" w:hAnsi="Verdana" w:cs="Lucida Sans Unicode"/>
            <w:sz w:val="20"/>
            <w:szCs w:val="20"/>
          </w:rPr>
          <w:t xml:space="preserve"> 106/09</w:t>
        </w:r>
      </w:hyperlink>
      <w:r>
        <w:rPr>
          <w:rFonts w:ascii="Verdana" w:hAnsi="Verdana" w:cs="Lucida Sans Unicode"/>
          <w:color w:val="333333"/>
          <w:sz w:val="20"/>
          <w:szCs w:val="20"/>
        </w:rPr>
        <w:t xml:space="preserve">, recita: </w:t>
      </w:r>
      <w:r>
        <w:rPr>
          <w:rStyle w:val="Enfasicorsivo"/>
          <w:rFonts w:ascii="Verdana" w:hAnsi="Verdana" w:cs="Lucida Sans Unicode"/>
          <w:color w:val="333333"/>
          <w:sz w:val="20"/>
          <w:szCs w:val="20"/>
        </w:rPr>
        <w:t>il datore di lavoro provvede affinché gli edifici, gli impianti, le strutture, le attrezzature, siano protetti dagli effetti dei fulmini secondo le norme tecniche</w:t>
      </w:r>
      <w:r>
        <w:rPr>
          <w:rFonts w:ascii="Verdana" w:hAnsi="Verdana" w:cs="Lucida Sans Unicode"/>
          <w:color w:val="333333"/>
          <w:sz w:val="20"/>
          <w:szCs w:val="20"/>
        </w:rPr>
        <w:t xml:space="preserve">.  </w:t>
      </w:r>
      <w:r>
        <w:rPr>
          <w:rFonts w:ascii="Verdana" w:hAnsi="Verdana" w:cs="Lucida Sans Unicode"/>
          <w:color w:val="333333"/>
          <w:sz w:val="20"/>
          <w:szCs w:val="20"/>
        </w:rPr>
        <w:br/>
      </w:r>
      <w:r>
        <w:rPr>
          <w:rFonts w:ascii="Verdana" w:hAnsi="Verdana" w:cs="Lucida Sans Unicode"/>
          <w:color w:val="333333"/>
          <w:sz w:val="20"/>
          <w:szCs w:val="20"/>
        </w:rPr>
        <w:br/>
        <w:t xml:space="preserve">Riguardo alle </w:t>
      </w:r>
      <w:r>
        <w:rPr>
          <w:rStyle w:val="Enfasigrassetto"/>
          <w:rFonts w:ascii="Verdana" w:hAnsi="Verdana" w:cs="Lucida Sans Unicode"/>
          <w:color w:val="333333"/>
          <w:sz w:val="20"/>
          <w:szCs w:val="20"/>
        </w:rPr>
        <w:t>norme tecniche</w:t>
      </w:r>
      <w:r>
        <w:rPr>
          <w:rFonts w:ascii="Verdana" w:hAnsi="Verdana" w:cs="Lucida Sans Unicode"/>
          <w:color w:val="333333"/>
          <w:sz w:val="20"/>
          <w:szCs w:val="20"/>
        </w:rPr>
        <w:t xml:space="preserve"> il documento, che vi invitiamo a leggere, ricorda che la serie di norme </w:t>
      </w:r>
      <w:r>
        <w:rPr>
          <w:rStyle w:val="Enfasigrassetto"/>
          <w:rFonts w:ascii="Verdana" w:hAnsi="Verdana" w:cs="Lucida Sans Unicode"/>
          <w:color w:val="333333"/>
          <w:sz w:val="20"/>
          <w:szCs w:val="20"/>
        </w:rPr>
        <w:t>CEI EN 62305/1-4</w:t>
      </w:r>
      <w:r>
        <w:rPr>
          <w:rFonts w:ascii="Verdana" w:hAnsi="Verdana" w:cs="Lucida Sans Unicode"/>
          <w:color w:val="333333"/>
          <w:sz w:val="20"/>
          <w:szCs w:val="20"/>
        </w:rPr>
        <w:t xml:space="preserve"> ha sostituito i documenti normativi CEI 81-1, CEI 81- 4, CEI 81-8. </w:t>
      </w:r>
      <w:r>
        <w:rPr>
          <w:rFonts w:ascii="Verdana" w:hAnsi="Verdana" w:cs="Lucida Sans Unicode"/>
          <w:color w:val="333333"/>
          <w:sz w:val="20"/>
          <w:szCs w:val="20"/>
        </w:rPr>
        <w:br/>
        <w:t xml:space="preserve">In particolare la norma </w:t>
      </w:r>
      <w:r>
        <w:rPr>
          <w:rStyle w:val="Enfasigrassetto"/>
          <w:rFonts w:ascii="Verdana" w:hAnsi="Verdana" w:cs="Lucida Sans Unicode"/>
          <w:color w:val="333333"/>
          <w:sz w:val="20"/>
          <w:szCs w:val="20"/>
        </w:rPr>
        <w:t>CEI EN 62305 – 1</w:t>
      </w:r>
      <w:r>
        <w:rPr>
          <w:rFonts w:ascii="Verdana" w:hAnsi="Verdana" w:cs="Lucida Sans Unicode"/>
          <w:color w:val="333333"/>
          <w:sz w:val="20"/>
          <w:szCs w:val="20"/>
        </w:rPr>
        <w:t xml:space="preserve">: </w:t>
      </w:r>
      <w:r>
        <w:rPr>
          <w:rFonts w:ascii="Verdana" w:hAnsi="Verdana" w:cs="Lucida Sans Unicode"/>
          <w:color w:val="333333"/>
          <w:sz w:val="20"/>
          <w:szCs w:val="20"/>
        </w:rPr>
        <w:br/>
        <w:t xml:space="preserve">- “introduce i parametri della corrente di fulmine e i relativi tipi di danno; </w:t>
      </w:r>
      <w:r>
        <w:rPr>
          <w:rFonts w:ascii="Verdana" w:hAnsi="Verdana" w:cs="Lucida Sans Unicode"/>
          <w:color w:val="333333"/>
          <w:sz w:val="20"/>
          <w:szCs w:val="20"/>
        </w:rPr>
        <w:br/>
        <w:t xml:space="preserve">- illustra la necessità e la convenienza economica della protezione , le misure di protezione da adottare e i criteri per la </w:t>
      </w:r>
      <w:hyperlink r:id="rId9" w:history="1">
        <w:r>
          <w:rPr>
            <w:rStyle w:val="Collegamentoipertestuale"/>
            <w:rFonts w:ascii="Verdana" w:hAnsi="Verdana" w:cs="Lucida Sans Unicode"/>
            <w:sz w:val="20"/>
            <w:szCs w:val="20"/>
          </w:rPr>
          <w:t>protezione contro il fulmine</w:t>
        </w:r>
      </w:hyperlink>
      <w:r>
        <w:rPr>
          <w:rFonts w:ascii="Verdana" w:hAnsi="Verdana" w:cs="Lucida Sans Unicode"/>
          <w:color w:val="333333"/>
          <w:sz w:val="20"/>
          <w:szCs w:val="20"/>
        </w:rPr>
        <w:t xml:space="preserve">”. </w:t>
      </w:r>
      <w:r>
        <w:rPr>
          <w:rFonts w:ascii="Verdana" w:hAnsi="Verdana" w:cs="Lucida Sans Unicode"/>
          <w:color w:val="333333"/>
          <w:sz w:val="20"/>
          <w:szCs w:val="20"/>
        </w:rPr>
        <w:br/>
        <w:t xml:space="preserve">Inoltre: </w:t>
      </w:r>
      <w:r>
        <w:rPr>
          <w:rFonts w:ascii="Verdana" w:hAnsi="Verdana" w:cs="Lucida Sans Unicode"/>
          <w:color w:val="333333"/>
          <w:sz w:val="20"/>
          <w:szCs w:val="20"/>
        </w:rPr>
        <w:br/>
        <w:t xml:space="preserve">- “la norma </w:t>
      </w:r>
      <w:r>
        <w:rPr>
          <w:rStyle w:val="Enfasigrassetto"/>
          <w:rFonts w:ascii="Verdana" w:hAnsi="Verdana" w:cs="Lucida Sans Unicode"/>
          <w:color w:val="333333"/>
          <w:sz w:val="20"/>
          <w:szCs w:val="20"/>
        </w:rPr>
        <w:t>CEI EN 62305 – 2</w:t>
      </w:r>
      <w:r>
        <w:rPr>
          <w:rFonts w:ascii="Verdana" w:hAnsi="Verdana" w:cs="Lucida Sans Unicode"/>
          <w:color w:val="333333"/>
          <w:sz w:val="20"/>
          <w:szCs w:val="20"/>
        </w:rPr>
        <w:t xml:space="preserve"> riguarda il metodo di analisi del rischio per stabilire la necessità o la convenienza della protezione;</w:t>
      </w:r>
      <w:r>
        <w:rPr>
          <w:rFonts w:ascii="Verdana" w:hAnsi="Verdana" w:cs="Lucida Sans Unicode"/>
          <w:color w:val="333333"/>
          <w:sz w:val="20"/>
          <w:szCs w:val="20"/>
        </w:rPr>
        <w:br/>
        <w:t xml:space="preserve">- la norma </w:t>
      </w:r>
      <w:r>
        <w:rPr>
          <w:rStyle w:val="Enfasigrassetto"/>
          <w:rFonts w:ascii="Verdana" w:hAnsi="Verdana" w:cs="Lucida Sans Unicode"/>
          <w:color w:val="333333"/>
          <w:sz w:val="20"/>
          <w:szCs w:val="20"/>
        </w:rPr>
        <w:t>CEI EN 62305 – 3</w:t>
      </w:r>
      <w:r>
        <w:rPr>
          <w:rFonts w:ascii="Verdana" w:hAnsi="Verdana" w:cs="Lucida Sans Unicode"/>
          <w:color w:val="333333"/>
          <w:sz w:val="20"/>
          <w:szCs w:val="20"/>
        </w:rPr>
        <w:t xml:space="preserve"> contiene i criteri per la progettazione , l’installazione e la manutenzione delle misure di protezione contro il fulmine per ridurre il rischio di danno alle persone e/o cose;</w:t>
      </w:r>
      <w:r>
        <w:rPr>
          <w:rFonts w:ascii="Verdana" w:hAnsi="Verdana" w:cs="Lucida Sans Unicode"/>
          <w:color w:val="333333"/>
          <w:sz w:val="20"/>
          <w:szCs w:val="20"/>
        </w:rPr>
        <w:br/>
        <w:t xml:space="preserve">- la norma </w:t>
      </w:r>
      <w:r>
        <w:rPr>
          <w:rStyle w:val="Enfasigrassetto"/>
          <w:rFonts w:ascii="Verdana" w:hAnsi="Verdana" w:cs="Lucida Sans Unicode"/>
          <w:color w:val="333333"/>
          <w:sz w:val="20"/>
          <w:szCs w:val="20"/>
        </w:rPr>
        <w:t>CEI EN 62305 – 4</w:t>
      </w:r>
      <w:r>
        <w:rPr>
          <w:rFonts w:ascii="Verdana" w:hAnsi="Verdana" w:cs="Lucida Sans Unicode"/>
          <w:color w:val="333333"/>
          <w:sz w:val="20"/>
          <w:szCs w:val="20"/>
        </w:rPr>
        <w:t xml:space="preserve"> contiene i criteri per la progettazione , l’installazione e la manutenzione delle misure di protezione contro il fulmine per ridurre i danni agli </w:t>
      </w:r>
      <w:hyperlink r:id="rId10" w:history="1">
        <w:r>
          <w:rPr>
            <w:rStyle w:val="Collegamentoipertestuale"/>
            <w:rFonts w:ascii="Verdana" w:hAnsi="Verdana" w:cs="Lucida Sans Unicode"/>
            <w:sz w:val="20"/>
            <w:szCs w:val="20"/>
          </w:rPr>
          <w:t>impianti elettrici</w:t>
        </w:r>
      </w:hyperlink>
      <w:r>
        <w:rPr>
          <w:rFonts w:ascii="Verdana" w:hAnsi="Verdana" w:cs="Lucida Sans Unicode"/>
          <w:color w:val="333333"/>
          <w:sz w:val="20"/>
          <w:szCs w:val="20"/>
        </w:rPr>
        <w:t xml:space="preserve"> ed elettronici all’interno delle strutture”.</w:t>
      </w:r>
      <w:r>
        <w:rPr>
          <w:rFonts w:ascii="Verdana" w:hAnsi="Verdana" w:cs="Lucida Sans Unicode"/>
          <w:color w:val="333333"/>
          <w:sz w:val="20"/>
          <w:szCs w:val="20"/>
        </w:rPr>
        <w:br/>
      </w:r>
      <w:r>
        <w:rPr>
          <w:rFonts w:ascii="Verdana" w:hAnsi="Verdana" w:cs="Lucida Sans Unicode"/>
          <w:color w:val="333333"/>
          <w:sz w:val="20"/>
          <w:szCs w:val="20"/>
        </w:rPr>
        <w:br/>
      </w:r>
      <w:r>
        <w:rPr>
          <w:rStyle w:val="Enfasigrassetto"/>
          <w:rFonts w:ascii="Verdana" w:hAnsi="Verdana" w:cs="Lucida Sans Unicode"/>
          <w:color w:val="333333"/>
          <w:sz w:val="20"/>
          <w:szCs w:val="20"/>
        </w:rPr>
        <w:t xml:space="preserve">Valutazione e rivalutazione del rischio di fulminazione </w:t>
      </w:r>
      <w:r>
        <w:rPr>
          <w:rFonts w:ascii="Verdana" w:hAnsi="Verdana" w:cs="Lucida Sans Unicode"/>
          <w:b/>
          <w:bCs/>
          <w:color w:val="333333"/>
          <w:sz w:val="20"/>
          <w:szCs w:val="20"/>
        </w:rPr>
        <w:br/>
      </w:r>
      <w:r>
        <w:rPr>
          <w:rFonts w:ascii="Verdana" w:hAnsi="Verdana" w:cs="Lucida Sans Unicode"/>
          <w:color w:val="333333"/>
          <w:sz w:val="20"/>
          <w:szCs w:val="20"/>
        </w:rPr>
        <w:t xml:space="preserve">Dunque “per i nuovi edifici la norma tecnica da utilizzare per valutare il </w:t>
      </w:r>
      <w:hyperlink r:id="rId11" w:history="1">
        <w:r>
          <w:rPr>
            <w:rStyle w:val="Collegamentoipertestuale"/>
            <w:rFonts w:ascii="Verdana" w:hAnsi="Verdana" w:cs="Lucida Sans Unicode"/>
            <w:sz w:val="20"/>
            <w:szCs w:val="20"/>
          </w:rPr>
          <w:t>rischio di fulminazione</w:t>
        </w:r>
      </w:hyperlink>
      <w:r>
        <w:rPr>
          <w:rFonts w:ascii="Verdana" w:hAnsi="Verdana" w:cs="Lucida Sans Unicode"/>
          <w:color w:val="333333"/>
          <w:sz w:val="20"/>
          <w:szCs w:val="20"/>
        </w:rPr>
        <w:t xml:space="preserve"> e definire se gli edifici stessi sono auto protetti è la CEI EN 62305”.</w:t>
      </w:r>
      <w:r>
        <w:rPr>
          <w:rFonts w:ascii="Verdana" w:hAnsi="Verdana" w:cs="Lucida Sans Unicode"/>
          <w:color w:val="333333"/>
          <w:sz w:val="20"/>
          <w:szCs w:val="20"/>
        </w:rPr>
        <w:br/>
        <w:t>Tuttavia per gli edifici esistenti, “per i quali la valutazione del rischio di fulminazione era già stata effettuata precedentemente in base alle norme tecniche precedentemente in vigore”, viene da chiedersi “se debba essere effettuata la rivalutazione del rischio di fulminazione”.</w:t>
      </w:r>
      <w:r>
        <w:rPr>
          <w:rFonts w:ascii="Verdana" w:hAnsi="Verdana" w:cs="Lucida Sans Unicode"/>
          <w:color w:val="333333"/>
          <w:sz w:val="20"/>
          <w:szCs w:val="20"/>
        </w:rPr>
        <w:br/>
        <w:t xml:space="preserve">Secondo le considerazioni dell’autore, che tengono conto del Codice Civile , del </w:t>
      </w:r>
      <w:proofErr w:type="spellStart"/>
      <w:r>
        <w:rPr>
          <w:rFonts w:ascii="Verdana" w:hAnsi="Verdana" w:cs="Lucida Sans Unicode"/>
          <w:color w:val="333333"/>
          <w:sz w:val="20"/>
          <w:szCs w:val="20"/>
        </w:rPr>
        <w:t>D.Lgs.</w:t>
      </w:r>
      <w:proofErr w:type="spellEnd"/>
      <w:r>
        <w:rPr>
          <w:rFonts w:ascii="Verdana" w:hAnsi="Verdana" w:cs="Lucida Sans Unicode"/>
          <w:color w:val="333333"/>
          <w:sz w:val="20"/>
          <w:szCs w:val="20"/>
        </w:rPr>
        <w:t xml:space="preserve"> 81/2008 </w:t>
      </w:r>
      <w:r>
        <w:rPr>
          <w:rFonts w:ascii="Verdana" w:hAnsi="Verdana" w:cs="Lucida Sans Unicode"/>
          <w:color w:val="333333"/>
          <w:sz w:val="20"/>
          <w:szCs w:val="20"/>
        </w:rPr>
        <w:lastRenderedPageBreak/>
        <w:t xml:space="preserve">e della norma CEI 81-10 V1, si può concludere che: </w:t>
      </w:r>
      <w:r>
        <w:rPr>
          <w:rFonts w:ascii="Verdana" w:hAnsi="Verdana" w:cs="Lucida Sans Unicode"/>
          <w:color w:val="333333"/>
          <w:sz w:val="20"/>
          <w:szCs w:val="20"/>
        </w:rPr>
        <w:br/>
        <w:t>- “la norma CEI EN 62305 – 2 è lo strumento che il datore di Lavoro ha a disposizione per verificare l’auto protezione di una struttura, nei confronti delle scariche atmosferiche, effettuando una specifica valutazione dei rischi;</w:t>
      </w:r>
      <w:r>
        <w:rPr>
          <w:rFonts w:ascii="Verdana" w:hAnsi="Verdana" w:cs="Lucida Sans Unicode"/>
          <w:color w:val="333333"/>
          <w:sz w:val="20"/>
          <w:szCs w:val="20"/>
        </w:rPr>
        <w:br/>
        <w:t xml:space="preserve">- per i nuovi edifici si utilizza tale norma per effettuare la valutazione del rischio di </w:t>
      </w:r>
      <w:hyperlink r:id="rId12" w:history="1">
        <w:r>
          <w:rPr>
            <w:rStyle w:val="Collegamentoipertestuale"/>
            <w:rFonts w:ascii="Verdana" w:hAnsi="Verdana" w:cs="Lucida Sans Unicode"/>
            <w:sz w:val="20"/>
            <w:szCs w:val="20"/>
          </w:rPr>
          <w:t>fulminazione</w:t>
        </w:r>
      </w:hyperlink>
      <w:r>
        <w:rPr>
          <w:rFonts w:ascii="Verdana" w:hAnsi="Verdana" w:cs="Lucida Sans Unicode"/>
          <w:color w:val="333333"/>
          <w:sz w:val="20"/>
          <w:szCs w:val="20"/>
        </w:rPr>
        <w:t>”;</w:t>
      </w:r>
      <w:r>
        <w:rPr>
          <w:rFonts w:ascii="Verdana" w:hAnsi="Verdana" w:cs="Lucida Sans Unicode"/>
          <w:color w:val="333333"/>
          <w:sz w:val="20"/>
          <w:szCs w:val="20"/>
        </w:rPr>
        <w:br/>
        <w:t>- per gli edifici esistenti nei quali la valutazione del rischio di fulminazione era già stata effettuata in base alle norme tecniche precedenti “</w:t>
      </w:r>
      <w:r>
        <w:rPr>
          <w:rStyle w:val="Enfasigrassetto"/>
          <w:rFonts w:ascii="Verdana" w:hAnsi="Verdana" w:cs="Lucida Sans Unicode"/>
          <w:color w:val="333333"/>
          <w:sz w:val="20"/>
          <w:szCs w:val="20"/>
        </w:rPr>
        <w:t>il datore di lavoro dovrà effettuare nuovamente la valutazione</w:t>
      </w:r>
      <w:r>
        <w:rPr>
          <w:rFonts w:ascii="Verdana" w:hAnsi="Verdana" w:cs="Lucida Sans Unicode"/>
          <w:color w:val="333333"/>
          <w:sz w:val="20"/>
          <w:szCs w:val="20"/>
        </w:rPr>
        <w:t xml:space="preserve"> in conformità alla norma CEI EN 62305 – 2 e se necessario dovrà individuare e realizzare le misure di protezione necessarie a ridurre il rischio a valori non superiori a quello ritenuto tollerabile dalla norma </w:t>
      </w:r>
      <w:hyperlink r:id="rId13" w:history="1">
        <w:r>
          <w:rPr>
            <w:rStyle w:val="Collegamentoipertestuale"/>
            <w:rFonts w:ascii="Verdana" w:hAnsi="Verdana" w:cs="Lucida Sans Unicode"/>
            <w:sz w:val="20"/>
            <w:szCs w:val="20"/>
          </w:rPr>
          <w:t>CEI EN 62305</w:t>
        </w:r>
      </w:hyperlink>
      <w:r>
        <w:rPr>
          <w:rFonts w:ascii="Verdana" w:hAnsi="Verdana" w:cs="Lucida Sans Unicode"/>
          <w:color w:val="333333"/>
          <w:sz w:val="20"/>
          <w:szCs w:val="20"/>
        </w:rPr>
        <w:t xml:space="preserve"> – 2 stessa”.</w:t>
      </w:r>
      <w:r>
        <w:rPr>
          <w:rFonts w:ascii="Verdana" w:hAnsi="Verdana" w:cs="Lucida Sans Unicode"/>
          <w:color w:val="333333"/>
          <w:sz w:val="20"/>
          <w:szCs w:val="20"/>
        </w:rPr>
        <w:br/>
      </w:r>
      <w:r>
        <w:rPr>
          <w:rFonts w:ascii="Verdana" w:hAnsi="Verdana" w:cs="Lucida Sans Unicode"/>
          <w:color w:val="333333"/>
          <w:sz w:val="20"/>
          <w:szCs w:val="20"/>
        </w:rPr>
        <w:br/>
      </w:r>
      <w:r>
        <w:rPr>
          <w:rStyle w:val="Enfasigrassetto"/>
          <w:rFonts w:ascii="Verdana" w:hAnsi="Verdana" w:cs="Lucida Sans Unicode"/>
          <w:color w:val="333333"/>
          <w:sz w:val="20"/>
          <w:szCs w:val="20"/>
        </w:rPr>
        <w:t>Misure di protezione</w:t>
      </w:r>
      <w:r>
        <w:rPr>
          <w:rFonts w:ascii="Verdana" w:hAnsi="Verdana" w:cs="Lucida Sans Unicode"/>
          <w:b/>
          <w:bCs/>
          <w:color w:val="333333"/>
          <w:sz w:val="20"/>
          <w:szCs w:val="20"/>
        </w:rPr>
        <w:br/>
      </w:r>
      <w:r>
        <w:rPr>
          <w:rFonts w:ascii="Verdana" w:hAnsi="Verdana" w:cs="Lucida Sans Unicode"/>
          <w:color w:val="333333"/>
          <w:sz w:val="20"/>
          <w:szCs w:val="20"/>
        </w:rPr>
        <w:t xml:space="preserve">Rimandando alla lettura del documento originale per conoscere le diverse formule contenute – formule relative, ad esempio, alla codificazione dei rischi, alla definizione di rischio tollerabile e alla valutazione della necessità o convenienza delle misure di protezione – ci occupiamo delle </w:t>
      </w:r>
      <w:r>
        <w:rPr>
          <w:rStyle w:val="Enfasigrassetto"/>
          <w:rFonts w:ascii="Verdana" w:hAnsi="Verdana" w:cs="Lucida Sans Unicode"/>
          <w:color w:val="333333"/>
          <w:sz w:val="20"/>
          <w:szCs w:val="20"/>
        </w:rPr>
        <w:t>principali misure di protezione</w:t>
      </w:r>
      <w:r>
        <w:rPr>
          <w:rFonts w:ascii="Verdana" w:hAnsi="Verdana" w:cs="Lucida Sans Unicode"/>
          <w:color w:val="333333"/>
          <w:sz w:val="20"/>
          <w:szCs w:val="20"/>
        </w:rPr>
        <w:t xml:space="preserve">: </w:t>
      </w:r>
      <w:r>
        <w:rPr>
          <w:rFonts w:ascii="Verdana" w:hAnsi="Verdana" w:cs="Lucida Sans Unicode"/>
          <w:color w:val="333333"/>
          <w:sz w:val="20"/>
          <w:szCs w:val="20"/>
        </w:rPr>
        <w:br/>
        <w:t xml:space="preserve">- “l’impianto di protezione contro i fulmini (LPS) la cui realizzazione va eseguita in conformità alla norma CEI EN 62305-4; </w:t>
      </w:r>
      <w:r>
        <w:rPr>
          <w:rFonts w:ascii="Verdana" w:hAnsi="Verdana" w:cs="Lucida Sans Unicode"/>
          <w:color w:val="333333"/>
          <w:sz w:val="20"/>
          <w:szCs w:val="20"/>
        </w:rPr>
        <w:br/>
        <w:t>- un sistema di SPD realizzato in conformità alla norma CEI EN 62305-4”.</w:t>
      </w:r>
      <w:r>
        <w:rPr>
          <w:rFonts w:ascii="Verdana" w:hAnsi="Verdana" w:cs="Lucida Sans Unicode"/>
          <w:color w:val="333333"/>
          <w:sz w:val="20"/>
          <w:szCs w:val="20"/>
        </w:rPr>
        <w:br/>
        <w:t> </w:t>
      </w:r>
      <w:r>
        <w:rPr>
          <w:rFonts w:ascii="Verdana" w:hAnsi="Verdana" w:cs="Lucida Sans Unicode"/>
          <w:color w:val="333333"/>
          <w:sz w:val="20"/>
          <w:szCs w:val="20"/>
        </w:rPr>
        <w:br/>
        <w:t>In particolare l’</w:t>
      </w:r>
      <w:r>
        <w:rPr>
          <w:rStyle w:val="Enfasigrassetto"/>
          <w:rFonts w:ascii="Verdana" w:hAnsi="Verdana" w:cs="Lucida Sans Unicode"/>
          <w:color w:val="333333"/>
          <w:sz w:val="20"/>
          <w:szCs w:val="20"/>
        </w:rPr>
        <w:t>impianto di protezione LPS</w:t>
      </w:r>
      <w:r>
        <w:rPr>
          <w:rFonts w:ascii="Verdana" w:hAnsi="Verdana" w:cs="Lucida Sans Unicode"/>
          <w:color w:val="333333"/>
          <w:sz w:val="20"/>
          <w:szCs w:val="20"/>
        </w:rPr>
        <w:t xml:space="preserve"> (</w:t>
      </w:r>
      <w:proofErr w:type="spellStart"/>
      <w:r>
        <w:rPr>
          <w:rFonts w:ascii="Verdana" w:hAnsi="Verdana" w:cs="Lucida Sans Unicode"/>
          <w:color w:val="333333"/>
          <w:sz w:val="20"/>
          <w:szCs w:val="20"/>
        </w:rPr>
        <w:t>Lighting</w:t>
      </w:r>
      <w:proofErr w:type="spellEnd"/>
      <w:r>
        <w:rPr>
          <w:rFonts w:ascii="Verdana" w:hAnsi="Verdana" w:cs="Lucida Sans Unicode"/>
          <w:color w:val="333333"/>
          <w:sz w:val="20"/>
          <w:szCs w:val="20"/>
        </w:rPr>
        <w:t xml:space="preserve"> </w:t>
      </w:r>
      <w:proofErr w:type="spellStart"/>
      <w:r>
        <w:rPr>
          <w:rFonts w:ascii="Verdana" w:hAnsi="Verdana" w:cs="Lucida Sans Unicode"/>
          <w:color w:val="333333"/>
          <w:sz w:val="20"/>
          <w:szCs w:val="20"/>
        </w:rPr>
        <w:t>Protection</w:t>
      </w:r>
      <w:proofErr w:type="spellEnd"/>
      <w:r>
        <w:rPr>
          <w:rFonts w:ascii="Verdana" w:hAnsi="Verdana" w:cs="Lucida Sans Unicode"/>
          <w:color w:val="333333"/>
          <w:sz w:val="20"/>
          <w:szCs w:val="20"/>
        </w:rPr>
        <w:t xml:space="preserve"> System) “è l’impianto completo usato per ridurre il danno materiale dovuto alla fulminazione diretta della struttura”, mentre il </w:t>
      </w:r>
      <w:r>
        <w:rPr>
          <w:rStyle w:val="Enfasigrassetto"/>
          <w:rFonts w:ascii="Verdana" w:hAnsi="Verdana" w:cs="Lucida Sans Unicode"/>
          <w:color w:val="333333"/>
          <w:sz w:val="20"/>
          <w:szCs w:val="20"/>
        </w:rPr>
        <w:t>Limitatore di sovratensioni SPD</w:t>
      </w:r>
      <w:r>
        <w:rPr>
          <w:rFonts w:ascii="Verdana" w:hAnsi="Verdana" w:cs="Lucida Sans Unicode"/>
          <w:color w:val="333333"/>
          <w:sz w:val="20"/>
          <w:szCs w:val="20"/>
        </w:rPr>
        <w:t xml:space="preserve"> (</w:t>
      </w:r>
      <w:proofErr w:type="spellStart"/>
      <w:r>
        <w:rPr>
          <w:rFonts w:ascii="Verdana" w:hAnsi="Verdana" w:cs="Lucida Sans Unicode"/>
          <w:color w:val="333333"/>
          <w:sz w:val="20"/>
          <w:szCs w:val="20"/>
        </w:rPr>
        <w:t>Surge</w:t>
      </w:r>
      <w:proofErr w:type="spellEnd"/>
      <w:r>
        <w:rPr>
          <w:rFonts w:ascii="Verdana" w:hAnsi="Verdana" w:cs="Lucida Sans Unicode"/>
          <w:color w:val="333333"/>
          <w:sz w:val="20"/>
          <w:szCs w:val="20"/>
        </w:rPr>
        <w:t xml:space="preserve"> </w:t>
      </w:r>
      <w:proofErr w:type="spellStart"/>
      <w:r>
        <w:rPr>
          <w:rFonts w:ascii="Verdana" w:hAnsi="Verdana" w:cs="Lucida Sans Unicode"/>
          <w:color w:val="333333"/>
          <w:sz w:val="20"/>
          <w:szCs w:val="20"/>
        </w:rPr>
        <w:t>Protective</w:t>
      </w:r>
      <w:proofErr w:type="spellEnd"/>
      <w:r>
        <w:rPr>
          <w:rFonts w:ascii="Verdana" w:hAnsi="Verdana" w:cs="Lucida Sans Unicode"/>
          <w:color w:val="333333"/>
          <w:sz w:val="20"/>
          <w:szCs w:val="20"/>
        </w:rPr>
        <w:t xml:space="preserve"> Device) è il “dispositivo per limitare le sovratensioni e deviare le sovracorrenti”.</w:t>
      </w:r>
      <w:r>
        <w:rPr>
          <w:rFonts w:ascii="Verdana" w:hAnsi="Verdana" w:cs="Lucida Sans Unicode"/>
          <w:color w:val="333333"/>
          <w:sz w:val="20"/>
          <w:szCs w:val="20"/>
        </w:rPr>
        <w:br/>
        <w:t>I limitatori di sovratensione SPD “hanno lo scopo di evitare il danneggiamento di circuiti e di apparati causati da sovratensioni di origine esterna (</w:t>
      </w:r>
      <w:hyperlink r:id="rId14" w:history="1">
        <w:r>
          <w:rPr>
            <w:rStyle w:val="Collegamentoipertestuale"/>
            <w:rFonts w:ascii="Verdana" w:hAnsi="Verdana" w:cs="Lucida Sans Unicode"/>
            <w:sz w:val="20"/>
            <w:szCs w:val="20"/>
          </w:rPr>
          <w:t>fulminazioni</w:t>
        </w:r>
      </w:hyperlink>
      <w:r>
        <w:rPr>
          <w:rFonts w:ascii="Verdana" w:hAnsi="Verdana" w:cs="Lucida Sans Unicode"/>
          <w:color w:val="333333"/>
          <w:sz w:val="20"/>
          <w:szCs w:val="20"/>
        </w:rPr>
        <w:t xml:space="preserve">) e di origine interna (manovre o interventi di dispositivi di protezione)”. </w:t>
      </w:r>
      <w:r>
        <w:rPr>
          <w:rFonts w:ascii="Verdana" w:hAnsi="Verdana" w:cs="Lucida Sans Unicode"/>
          <w:color w:val="333333"/>
          <w:sz w:val="20"/>
          <w:szCs w:val="20"/>
        </w:rPr>
        <w:br/>
        <w:t>Ricordando che “le sovratensioni dovute a fulminazioni sono le più gravose”.</w:t>
      </w:r>
      <w:r>
        <w:rPr>
          <w:rFonts w:ascii="Verdana" w:hAnsi="Verdana" w:cs="Lucida Sans Unicode"/>
          <w:color w:val="333333"/>
          <w:sz w:val="20"/>
          <w:szCs w:val="20"/>
        </w:rPr>
        <w:br/>
        <w:t xml:space="preserve">In particolare gli </w:t>
      </w:r>
      <w:r>
        <w:rPr>
          <w:rStyle w:val="Enfasigrassetto"/>
          <w:rFonts w:ascii="Verdana" w:hAnsi="Verdana" w:cs="Lucida Sans Unicode"/>
          <w:color w:val="333333"/>
          <w:sz w:val="20"/>
          <w:szCs w:val="20"/>
        </w:rPr>
        <w:t>SPD</w:t>
      </w:r>
      <w:r>
        <w:rPr>
          <w:rFonts w:ascii="Verdana" w:hAnsi="Verdana" w:cs="Lucida Sans Unicode"/>
          <w:color w:val="333333"/>
          <w:sz w:val="20"/>
          <w:szCs w:val="20"/>
        </w:rPr>
        <w:t xml:space="preserve"> vanno scelti a seconda: </w:t>
      </w:r>
      <w:r>
        <w:rPr>
          <w:rFonts w:ascii="Verdana" w:hAnsi="Verdana" w:cs="Lucida Sans Unicode"/>
          <w:color w:val="333333"/>
          <w:sz w:val="20"/>
          <w:szCs w:val="20"/>
        </w:rPr>
        <w:br/>
        <w:t xml:space="preserve">- “del loro punto di installazione nell’impianto e della relativa </w:t>
      </w:r>
      <w:hyperlink r:id="rId15" w:history="1">
        <w:r>
          <w:rPr>
            <w:rStyle w:val="Collegamentoipertestuale"/>
            <w:rFonts w:ascii="Verdana" w:hAnsi="Verdana" w:cs="Lucida Sans Unicode"/>
            <w:sz w:val="20"/>
            <w:szCs w:val="20"/>
          </w:rPr>
          <w:t>corrente di scarica</w:t>
        </w:r>
      </w:hyperlink>
      <w:r>
        <w:rPr>
          <w:rFonts w:ascii="Verdana" w:hAnsi="Verdana" w:cs="Lucida Sans Unicode"/>
          <w:color w:val="333333"/>
          <w:sz w:val="20"/>
          <w:szCs w:val="20"/>
        </w:rPr>
        <w:t xml:space="preserve">; </w:t>
      </w:r>
      <w:r>
        <w:rPr>
          <w:rFonts w:ascii="Verdana" w:hAnsi="Verdana" w:cs="Lucida Sans Unicode"/>
          <w:color w:val="333333"/>
          <w:sz w:val="20"/>
          <w:szCs w:val="20"/>
        </w:rPr>
        <w:br/>
        <w:t>- della tensione di tenuta ad impulso delle apparecchiature da proteggere e della distanza esistente tra queste e l’SPD che deve essere inferiore alla distanza di protezione determinata da fenomeni di oscillazione e induzione”.</w:t>
      </w:r>
      <w:r>
        <w:rPr>
          <w:rFonts w:ascii="Verdana" w:hAnsi="Verdana" w:cs="Lucida Sans Unicode"/>
          <w:color w:val="333333"/>
          <w:sz w:val="20"/>
          <w:szCs w:val="20"/>
        </w:rPr>
        <w:br/>
        <w:t>E “poiché le sovratensioni più frequenti e pericolose sono quelle verso terra , gli SPD vanno installati tra conduttori attivi e terra”.</w:t>
      </w:r>
      <w:r>
        <w:rPr>
          <w:rFonts w:ascii="Verdana" w:hAnsi="Verdana" w:cs="Lucida Sans Unicode"/>
          <w:color w:val="333333"/>
          <w:sz w:val="20"/>
          <w:szCs w:val="20"/>
        </w:rPr>
        <w:br/>
      </w:r>
      <w:r>
        <w:rPr>
          <w:rFonts w:ascii="Verdana" w:hAnsi="Verdana" w:cs="Lucida Sans Unicode"/>
          <w:color w:val="333333"/>
          <w:sz w:val="20"/>
          <w:szCs w:val="20"/>
        </w:rPr>
        <w:br/>
        <w:t xml:space="preserve">Altre </w:t>
      </w:r>
      <w:r>
        <w:rPr>
          <w:rStyle w:val="Enfasigrassetto"/>
          <w:rFonts w:ascii="Verdana" w:hAnsi="Verdana" w:cs="Lucida Sans Unicode"/>
          <w:color w:val="333333"/>
          <w:sz w:val="20"/>
          <w:szCs w:val="20"/>
        </w:rPr>
        <w:t>misure di protezione integrative</w:t>
      </w:r>
      <w:r>
        <w:rPr>
          <w:rFonts w:ascii="Verdana" w:hAnsi="Verdana" w:cs="Lucida Sans Unicode"/>
          <w:color w:val="333333"/>
          <w:sz w:val="20"/>
          <w:szCs w:val="20"/>
        </w:rPr>
        <w:t xml:space="preserve"> possono essere: </w:t>
      </w:r>
      <w:r>
        <w:rPr>
          <w:rFonts w:ascii="Verdana" w:hAnsi="Verdana" w:cs="Lucida Sans Unicode"/>
          <w:color w:val="333333"/>
          <w:sz w:val="20"/>
          <w:szCs w:val="20"/>
        </w:rPr>
        <w:br/>
        <w:t xml:space="preserve">- “misure per ridurre le probabilità di danno (incremento della resistività superficiale del suolo nella fascia di 3 m intorno alla struttura; incremento della resistività superficiale dei pavimenti interni della struttura; schermatura totale o parziale della struttura; schermatura dei circuiti interni alla struttura; idonea distribuzione del cablaggio dei circuiti interni alla struttura; uso di apparecchiature con tensione di tenuta ad impulso elevata; schermatura delle </w:t>
      </w:r>
      <w:hyperlink r:id="rId16" w:history="1">
        <w:r>
          <w:rPr>
            <w:rStyle w:val="Collegamentoipertestuale"/>
            <w:rFonts w:ascii="Verdana" w:hAnsi="Verdana" w:cs="Lucida Sans Unicode"/>
            <w:sz w:val="20"/>
            <w:szCs w:val="20"/>
          </w:rPr>
          <w:t>linee elettriche</w:t>
        </w:r>
      </w:hyperlink>
      <w:r>
        <w:rPr>
          <w:rFonts w:ascii="Verdana" w:hAnsi="Verdana" w:cs="Lucida Sans Unicode"/>
          <w:color w:val="333333"/>
          <w:sz w:val="20"/>
          <w:szCs w:val="20"/>
        </w:rPr>
        <w:t xml:space="preserve"> entranti);</w:t>
      </w:r>
      <w:r>
        <w:rPr>
          <w:rFonts w:ascii="Verdana" w:hAnsi="Verdana" w:cs="Lucida Sans Unicode"/>
          <w:color w:val="333333"/>
          <w:sz w:val="20"/>
          <w:szCs w:val="20"/>
        </w:rPr>
        <w:br/>
        <w:t>- misure per limitare l’entità delle perdite da incendio (estintori; idranti; impianti di allarme incendio; impianti di estinzione; vie di fuga protette; compartimentazione antincendio);</w:t>
      </w:r>
      <w:r>
        <w:rPr>
          <w:rFonts w:ascii="Verdana" w:hAnsi="Verdana" w:cs="Lucida Sans Unicode"/>
          <w:color w:val="333333"/>
          <w:sz w:val="20"/>
          <w:szCs w:val="20"/>
        </w:rPr>
        <w:br/>
        <w:t xml:space="preserve">- misure per impedire il contatto con parti pericolose all’esterno (isolamento; barriere; </w:t>
      </w:r>
      <w:hyperlink r:id="rId17" w:history="1">
        <w:r>
          <w:rPr>
            <w:rStyle w:val="Collegamentoipertestuale"/>
            <w:rFonts w:ascii="Verdana" w:hAnsi="Verdana" w:cs="Lucida Sans Unicode"/>
            <w:sz w:val="20"/>
            <w:szCs w:val="20"/>
          </w:rPr>
          <w:t>cartelli</w:t>
        </w:r>
      </w:hyperlink>
      <w:r>
        <w:rPr>
          <w:rFonts w:ascii="Verdana" w:hAnsi="Verdana" w:cs="Lucida Sans Unicode"/>
          <w:color w:val="333333"/>
          <w:sz w:val="20"/>
          <w:szCs w:val="20"/>
        </w:rPr>
        <w:t xml:space="preserve"> monitori)”.</w:t>
      </w:r>
      <w:r>
        <w:rPr>
          <w:rFonts w:ascii="Verdana" w:hAnsi="Verdana" w:cs="Lucida Sans Unicode"/>
          <w:color w:val="333333"/>
          <w:sz w:val="20"/>
          <w:szCs w:val="20"/>
        </w:rPr>
        <w:br/>
      </w:r>
      <w:r>
        <w:rPr>
          <w:rFonts w:ascii="Verdana" w:hAnsi="Verdana" w:cs="Lucida Sans Unicode"/>
          <w:color w:val="333333"/>
          <w:sz w:val="20"/>
          <w:szCs w:val="20"/>
        </w:rPr>
        <w:br/>
        <w:t xml:space="preserve">Concludiamo segnalando che nel documento vengono presentati </w:t>
      </w:r>
      <w:r>
        <w:rPr>
          <w:rStyle w:val="Enfasigrassetto"/>
          <w:rFonts w:ascii="Verdana" w:hAnsi="Verdana" w:cs="Lucida Sans Unicode"/>
          <w:color w:val="333333"/>
          <w:sz w:val="20"/>
          <w:szCs w:val="20"/>
        </w:rPr>
        <w:t>esempi pratici</w:t>
      </w:r>
      <w:r>
        <w:rPr>
          <w:rFonts w:ascii="Verdana" w:hAnsi="Verdana" w:cs="Lucida Sans Unicode"/>
          <w:color w:val="333333"/>
          <w:sz w:val="20"/>
          <w:szCs w:val="20"/>
        </w:rPr>
        <w:t xml:space="preserve"> di misure di protezione applicati a ponteggi, </w:t>
      </w:r>
      <w:hyperlink r:id="rId18" w:history="1">
        <w:r>
          <w:rPr>
            <w:rStyle w:val="Collegamentoipertestuale"/>
            <w:rFonts w:ascii="Verdana" w:hAnsi="Verdana" w:cs="Lucida Sans Unicode"/>
            <w:sz w:val="20"/>
            <w:szCs w:val="20"/>
          </w:rPr>
          <w:t>gru</w:t>
        </w:r>
      </w:hyperlink>
      <w:r>
        <w:rPr>
          <w:rFonts w:ascii="Verdana" w:hAnsi="Verdana" w:cs="Lucida Sans Unicode"/>
          <w:color w:val="333333"/>
          <w:sz w:val="20"/>
          <w:szCs w:val="20"/>
        </w:rPr>
        <w:t>, torri faro e antenne.</w:t>
      </w:r>
      <w:bookmarkStart w:id="0" w:name="_GoBack"/>
      <w:bookmarkEnd w:id="0"/>
    </w:p>
    <w:sectPr w:rsidR="00D008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97"/>
    <w:rsid w:val="008835ED"/>
    <w:rsid w:val="00D008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00897"/>
    <w:pPr>
      <w:spacing w:after="0" w:line="240" w:lineRule="auto"/>
      <w:outlineLvl w:val="0"/>
    </w:pPr>
    <w:rPr>
      <w:rFonts w:ascii="Georgia" w:eastAsia="Times New Roman" w:hAnsi="Georgia" w:cs="Times New Roman"/>
      <w:b/>
      <w:bCs/>
      <w:color w:val="0099CC"/>
      <w:kern w:val="36"/>
      <w:sz w:val="35"/>
      <w:szCs w:val="3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0897"/>
    <w:rPr>
      <w:rFonts w:ascii="Georgia" w:eastAsia="Times New Roman" w:hAnsi="Georgia" w:cs="Times New Roman"/>
      <w:b/>
      <w:bCs/>
      <w:color w:val="0099CC"/>
      <w:kern w:val="36"/>
      <w:sz w:val="35"/>
      <w:szCs w:val="35"/>
      <w:lang w:eastAsia="it-IT"/>
    </w:rPr>
  </w:style>
  <w:style w:type="character" w:styleId="Enfasigrassetto">
    <w:name w:val="Strong"/>
    <w:basedOn w:val="Carpredefinitoparagrafo"/>
    <w:uiPriority w:val="22"/>
    <w:qFormat/>
    <w:rsid w:val="00D00897"/>
    <w:rPr>
      <w:b/>
      <w:bCs/>
    </w:rPr>
  </w:style>
  <w:style w:type="character" w:styleId="Collegamentoipertestuale">
    <w:name w:val="Hyperlink"/>
    <w:basedOn w:val="Carpredefinitoparagrafo"/>
    <w:uiPriority w:val="99"/>
    <w:semiHidden/>
    <w:unhideWhenUsed/>
    <w:rsid w:val="00D00897"/>
    <w:rPr>
      <w:strike w:val="0"/>
      <w:dstrike w:val="0"/>
      <w:color w:val="006699"/>
      <w:u w:val="none"/>
      <w:effect w:val="none"/>
    </w:rPr>
  </w:style>
  <w:style w:type="character" w:styleId="Enfasicorsivo">
    <w:name w:val="Emphasis"/>
    <w:basedOn w:val="Carpredefinitoparagrafo"/>
    <w:uiPriority w:val="20"/>
    <w:qFormat/>
    <w:rsid w:val="00D008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00897"/>
    <w:pPr>
      <w:spacing w:after="0" w:line="240" w:lineRule="auto"/>
      <w:outlineLvl w:val="0"/>
    </w:pPr>
    <w:rPr>
      <w:rFonts w:ascii="Georgia" w:eastAsia="Times New Roman" w:hAnsi="Georgia" w:cs="Times New Roman"/>
      <w:b/>
      <w:bCs/>
      <w:color w:val="0099CC"/>
      <w:kern w:val="36"/>
      <w:sz w:val="35"/>
      <w:szCs w:val="3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0897"/>
    <w:rPr>
      <w:rFonts w:ascii="Georgia" w:eastAsia="Times New Roman" w:hAnsi="Georgia" w:cs="Times New Roman"/>
      <w:b/>
      <w:bCs/>
      <w:color w:val="0099CC"/>
      <w:kern w:val="36"/>
      <w:sz w:val="35"/>
      <w:szCs w:val="35"/>
      <w:lang w:eastAsia="it-IT"/>
    </w:rPr>
  </w:style>
  <w:style w:type="character" w:styleId="Enfasigrassetto">
    <w:name w:val="Strong"/>
    <w:basedOn w:val="Carpredefinitoparagrafo"/>
    <w:uiPriority w:val="22"/>
    <w:qFormat/>
    <w:rsid w:val="00D00897"/>
    <w:rPr>
      <w:b/>
      <w:bCs/>
    </w:rPr>
  </w:style>
  <w:style w:type="character" w:styleId="Collegamentoipertestuale">
    <w:name w:val="Hyperlink"/>
    <w:basedOn w:val="Carpredefinitoparagrafo"/>
    <w:uiPriority w:val="99"/>
    <w:semiHidden/>
    <w:unhideWhenUsed/>
    <w:rsid w:val="00D00897"/>
    <w:rPr>
      <w:strike w:val="0"/>
      <w:dstrike w:val="0"/>
      <w:color w:val="006699"/>
      <w:u w:val="none"/>
      <w:effect w:val="none"/>
    </w:rPr>
  </w:style>
  <w:style w:type="character" w:styleId="Enfasicorsivo">
    <w:name w:val="Emphasis"/>
    <w:basedOn w:val="Carpredefinitoparagrafo"/>
    <w:uiPriority w:val="20"/>
    <w:qFormat/>
    <w:rsid w:val="00D00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85638">
      <w:bodyDiv w:val="1"/>
      <w:marLeft w:val="0"/>
      <w:marRight w:val="0"/>
      <w:marTop w:val="0"/>
      <w:marBottom w:val="0"/>
      <w:divBdr>
        <w:top w:val="none" w:sz="0" w:space="0" w:color="auto"/>
        <w:left w:val="none" w:sz="0" w:space="0" w:color="auto"/>
        <w:bottom w:val="none" w:sz="0" w:space="0" w:color="auto"/>
        <w:right w:val="none" w:sz="0" w:space="0" w:color="auto"/>
      </w:divBdr>
      <w:divsChild>
        <w:div w:id="342974655">
          <w:marLeft w:val="0"/>
          <w:marRight w:val="0"/>
          <w:marTop w:val="0"/>
          <w:marBottom w:val="0"/>
          <w:divBdr>
            <w:top w:val="none" w:sz="0" w:space="0" w:color="auto"/>
            <w:left w:val="none" w:sz="0" w:space="0" w:color="auto"/>
            <w:bottom w:val="none" w:sz="0" w:space="0" w:color="auto"/>
            <w:right w:val="none" w:sz="0" w:space="0" w:color="auto"/>
          </w:divBdr>
          <w:divsChild>
            <w:div w:id="488058577">
              <w:marLeft w:val="0"/>
              <w:marRight w:val="0"/>
              <w:marTop w:val="0"/>
              <w:marBottom w:val="0"/>
              <w:divBdr>
                <w:top w:val="single" w:sz="6" w:space="14" w:color="999999"/>
                <w:left w:val="single" w:sz="6" w:space="14" w:color="999999"/>
                <w:bottom w:val="single" w:sz="6" w:space="14" w:color="999999"/>
                <w:right w:val="single" w:sz="6" w:space="14" w:color="999999"/>
              </w:divBdr>
              <w:divsChild>
                <w:div w:id="1977564155">
                  <w:marLeft w:val="0"/>
                  <w:marRight w:val="0"/>
                  <w:marTop w:val="0"/>
                  <w:marBottom w:val="0"/>
                  <w:divBdr>
                    <w:top w:val="none" w:sz="0" w:space="0" w:color="auto"/>
                    <w:left w:val="none" w:sz="0" w:space="0" w:color="auto"/>
                    <w:bottom w:val="none" w:sz="0" w:space="0" w:color="auto"/>
                    <w:right w:val="none" w:sz="0" w:space="0" w:color="auto"/>
                  </w:divBdr>
                  <w:divsChild>
                    <w:div w:id="2129471707">
                      <w:marLeft w:val="0"/>
                      <w:marRight w:val="0"/>
                      <w:marTop w:val="0"/>
                      <w:marBottom w:val="0"/>
                      <w:divBdr>
                        <w:top w:val="single" w:sz="6" w:space="8" w:color="999999"/>
                        <w:left w:val="single" w:sz="6" w:space="8" w:color="999999"/>
                        <w:bottom w:val="single" w:sz="6" w:space="8" w:color="999999"/>
                        <w:right w:val="single" w:sz="6" w:space="8" w:color="999999"/>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tosicuro.it/italian/Le_novita__del_correttivo_del_testo_unico_dall_articolo-art-9318.php" TargetMode="External"/><Relationship Id="rId13" Type="http://schemas.openxmlformats.org/officeDocument/2006/relationships/hyperlink" Target="http://www.puntosicuro.it/italian/NUOVA_NORMATIVA_SUI_FULMINI-art-5782.php" TargetMode="External"/><Relationship Id="rId18" Type="http://schemas.openxmlformats.org/officeDocument/2006/relationships/hyperlink" Target="http://www.puntosicuro.it/italian/La_sicurezza_dei_gruisti_e_degli_addetti_ai-art-9772.php" TargetMode="External"/><Relationship Id="rId3" Type="http://schemas.openxmlformats.org/officeDocument/2006/relationships/settings" Target="settings.xml"/><Relationship Id="rId7" Type="http://schemas.openxmlformats.org/officeDocument/2006/relationships/hyperlink" Target="http://www.puntosicuro.it/italian/index.php?sViewMag=articolo&amp;iIdArticolo=6275" TargetMode="External"/><Relationship Id="rId12" Type="http://schemas.openxmlformats.org/officeDocument/2006/relationships/hyperlink" Target="http://www.puntosicuro.it/italian/Protezione_dai_fulmini_approfondimenti-art-6225.php" TargetMode="External"/><Relationship Id="rId17" Type="http://schemas.openxmlformats.org/officeDocument/2006/relationships/hyperlink" Target="http://www.puntosicuro.it/italian/La_segnaletica_di_salvataggio_e_antincendio_nei_luoghi-art-9744.php" TargetMode="External"/><Relationship Id="rId2" Type="http://schemas.microsoft.com/office/2007/relationships/stylesWithEffects" Target="stylesWithEffects.xml"/><Relationship Id="rId16" Type="http://schemas.openxmlformats.org/officeDocument/2006/relationships/hyperlink" Target="http://www.puntosicuro.it/italian/index.php?sViewMag=articolo&amp;iIdArticolo=840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untosicuro.it/italian/Edilizia_gli_effetti_delle_modifiche_del_correttivo_al-art-9611.php" TargetMode="External"/><Relationship Id="rId11" Type="http://schemas.openxmlformats.org/officeDocument/2006/relationships/hyperlink" Target="http://www.puntosicuro.it/italian/Cantieri_edili_e_rischio_di_fulminazione_quale_prevenzione-art-7432.php" TargetMode="External"/><Relationship Id="rId5" Type="http://schemas.openxmlformats.org/officeDocument/2006/relationships/hyperlink" Target="http://www.puntosicuro.it/italian/Testo_unico_decreto_81_sicurezza_salute_luoghi_lavoro.php" TargetMode="External"/><Relationship Id="rId15" Type="http://schemas.openxmlformats.org/officeDocument/2006/relationships/hyperlink" Target="http://www.puntosicuro.it/italian/index.php?sViewMag=articolo&amp;iIdArticolo=8742" TargetMode="External"/><Relationship Id="rId10" Type="http://schemas.openxmlformats.org/officeDocument/2006/relationships/hyperlink" Target="http://www.puntosicuro.it/italian/La_sicurezza_elettrica_e_il_decreto_legislativo_812008-art-8928.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ntosicuro.it/italian/Il_rischio_di_fulminazione_dei_sistemi_di_generazione-art-9681.php" TargetMode="External"/><Relationship Id="rId14" Type="http://schemas.openxmlformats.org/officeDocument/2006/relationships/hyperlink" Target="http://www.puntosicuro.it/italian/Quesiti_sugli_impianti_di_terra_e_scariche_atmosferiche-art-6138.ph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MASSARO</dc:creator>
  <cp:lastModifiedBy>ALFONSO MASSARO</cp:lastModifiedBy>
  <cp:revision>2</cp:revision>
  <dcterms:created xsi:type="dcterms:W3CDTF">2014-02-27T05:29:00Z</dcterms:created>
  <dcterms:modified xsi:type="dcterms:W3CDTF">2014-02-27T05:31:00Z</dcterms:modified>
</cp:coreProperties>
</file>