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In Europa il </w:t>
      </w:r>
      <w:hyperlink r:id="rId4" w:history="1">
        <w:r w:rsidRPr="003006CB">
          <w:rPr>
            <w:rFonts w:ascii="Times New Roman" w:eastAsia="Times New Roman" w:hAnsi="Times New Roman" w:cs="Times New Roman"/>
            <w:color w:val="0000FF"/>
            <w:sz w:val="24"/>
            <w:szCs w:val="24"/>
            <w:u w:val="single"/>
            <w:lang w:eastAsia="it-IT"/>
          </w:rPr>
          <w:t>trasporto terrestre</w:t>
        </w:r>
      </w:hyperlink>
      <w:r w:rsidRPr="003006CB">
        <w:rPr>
          <w:rFonts w:ascii="Times New Roman" w:eastAsia="Times New Roman" w:hAnsi="Times New Roman" w:cs="Times New Roman"/>
          <w:sz w:val="24"/>
          <w:szCs w:val="24"/>
          <w:lang w:eastAsia="it-IT"/>
        </w:rPr>
        <w:t xml:space="preserve"> (interno) di </w:t>
      </w:r>
      <w:r w:rsidRPr="003006CB">
        <w:rPr>
          <w:rFonts w:ascii="Times New Roman" w:eastAsia="Times New Roman" w:hAnsi="Times New Roman" w:cs="Times New Roman"/>
          <w:b/>
          <w:bCs/>
          <w:sz w:val="24"/>
          <w:szCs w:val="24"/>
          <w:lang w:eastAsia="it-IT"/>
        </w:rPr>
        <w:t>merci pericolose</w:t>
      </w:r>
      <w:r w:rsidRPr="003006CB">
        <w:rPr>
          <w:rFonts w:ascii="Times New Roman" w:eastAsia="Times New Roman" w:hAnsi="Times New Roman" w:cs="Times New Roman"/>
          <w:sz w:val="24"/>
          <w:szCs w:val="24"/>
          <w:lang w:eastAsia="it-IT"/>
        </w:rPr>
        <w:t xml:space="preserve"> è regolamentato da ADR (strada), RID (ferrovia) e ADN (vie navigabili interne).</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Riguardo all’</w:t>
      </w:r>
      <w:r w:rsidRPr="003006CB">
        <w:rPr>
          <w:rFonts w:ascii="Times New Roman" w:eastAsia="Times New Roman" w:hAnsi="Times New Roman" w:cs="Times New Roman"/>
          <w:b/>
          <w:bCs/>
          <w:sz w:val="24"/>
          <w:szCs w:val="24"/>
          <w:lang w:eastAsia="it-IT"/>
        </w:rPr>
        <w:t>Accordo europeo sul trasporto internazionale di merci pericolose su strada</w:t>
      </w:r>
      <w:r w:rsidRPr="003006CB">
        <w:rPr>
          <w:rFonts w:ascii="Times New Roman" w:eastAsia="Times New Roman" w:hAnsi="Times New Roman" w:cs="Times New Roman"/>
          <w:sz w:val="24"/>
          <w:szCs w:val="24"/>
          <w:lang w:eastAsia="it-IT"/>
        </w:rPr>
        <w:t xml:space="preserve"> ( </w:t>
      </w:r>
      <w:hyperlink r:id="rId5" w:history="1">
        <w:r w:rsidRPr="003006CB">
          <w:rPr>
            <w:rFonts w:ascii="Times New Roman" w:eastAsia="Times New Roman" w:hAnsi="Times New Roman" w:cs="Times New Roman"/>
            <w:color w:val="0000FF"/>
            <w:sz w:val="24"/>
            <w:szCs w:val="24"/>
            <w:u w:val="single"/>
            <w:lang w:eastAsia="it-IT"/>
          </w:rPr>
          <w:t>ADR</w:t>
        </w:r>
      </w:hyperlink>
      <w:r w:rsidRPr="003006CB">
        <w:rPr>
          <w:rFonts w:ascii="Times New Roman" w:eastAsia="Times New Roman" w:hAnsi="Times New Roman" w:cs="Times New Roman"/>
          <w:sz w:val="24"/>
          <w:szCs w:val="24"/>
          <w:lang w:eastAsia="it-IT"/>
        </w:rPr>
        <w:t>) è stata predisposta una edizione 2009 che reca alcune modifiche rispetto all’edizione precedente.</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Per approfondire l’argomento presentiamo un documento pubblicato sul sito di </w:t>
      </w:r>
      <w:hyperlink r:id="rId6" w:history="1">
        <w:r w:rsidRPr="003006CB">
          <w:rPr>
            <w:rFonts w:ascii="Times New Roman" w:eastAsia="Times New Roman" w:hAnsi="Times New Roman" w:cs="Times New Roman"/>
            <w:color w:val="0000FF"/>
            <w:sz w:val="24"/>
            <w:szCs w:val="24"/>
            <w:u w:val="single"/>
            <w:lang w:eastAsia="it-IT"/>
          </w:rPr>
          <w:t>Assogastecnici</w:t>
        </w:r>
      </w:hyperlink>
      <w:r w:rsidRPr="003006CB">
        <w:rPr>
          <w:rFonts w:ascii="Times New Roman" w:eastAsia="Times New Roman" w:hAnsi="Times New Roman" w:cs="Times New Roman"/>
          <w:sz w:val="24"/>
          <w:szCs w:val="24"/>
          <w:lang w:eastAsia="it-IT"/>
        </w:rPr>
        <w:t xml:space="preserve">- associazione di aziende operanti nel campo della produzione e distribuzione dei </w:t>
      </w:r>
      <w:hyperlink r:id="rId7" w:history="1">
        <w:r w:rsidRPr="003006CB">
          <w:rPr>
            <w:rFonts w:ascii="Times New Roman" w:eastAsia="Times New Roman" w:hAnsi="Times New Roman" w:cs="Times New Roman"/>
            <w:color w:val="0000FF"/>
            <w:sz w:val="24"/>
            <w:szCs w:val="24"/>
            <w:u w:val="single"/>
            <w:lang w:eastAsia="it-IT"/>
          </w:rPr>
          <w:t>gas tecnici</w:t>
        </w:r>
      </w:hyperlink>
      <w:r w:rsidRPr="003006CB">
        <w:rPr>
          <w:rFonts w:ascii="Times New Roman" w:eastAsia="Times New Roman" w:hAnsi="Times New Roman" w:cs="Times New Roman"/>
          <w:sz w:val="24"/>
          <w:szCs w:val="24"/>
          <w:lang w:eastAsia="it-IT"/>
        </w:rPr>
        <w:t>, speciali e medicinali – dal titolo “</w:t>
      </w:r>
      <w:hyperlink r:id="rId8" w:history="1">
        <w:r w:rsidRPr="003006CB">
          <w:rPr>
            <w:rFonts w:ascii="Times New Roman" w:eastAsia="Times New Roman" w:hAnsi="Times New Roman" w:cs="Times New Roman"/>
            <w:b/>
            <w:bCs/>
            <w:color w:val="0000FF"/>
            <w:sz w:val="24"/>
            <w:szCs w:val="24"/>
            <w:u w:val="single"/>
            <w:lang w:eastAsia="it-IT"/>
          </w:rPr>
          <w:t>Linee Guida per la formazione e l’addestramento del personale coinvolto nel trasporto di merci pericolose su strada (ADR 2009)</w:t>
        </w:r>
      </w:hyperlink>
      <w:r w:rsidRPr="003006CB">
        <w:rPr>
          <w:rFonts w:ascii="Times New Roman" w:eastAsia="Times New Roman" w:hAnsi="Times New Roman" w:cs="Times New Roman"/>
          <w:sz w:val="24"/>
          <w:szCs w:val="24"/>
          <w:lang w:eastAsia="it-IT"/>
        </w:rPr>
        <w:t>”, a cura del Comitato Trasporti di Assogastecnici. Il documento riporta sia le modifiche dell’edizione 2009 che le parti non più vigenti dell’edizione precedente.</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p>
    <w:p w:rsidR="003006CB" w:rsidRPr="003006CB" w:rsidRDefault="003006CB" w:rsidP="003006CB">
      <w:pPr>
        <w:spacing w:after="0" w:line="270" w:lineRule="atLeast"/>
        <w:jc w:val="center"/>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Pubblicità</w:t>
      </w:r>
    </w:p>
    <w:tbl>
      <w:tblPr>
        <w:tblW w:w="7020" w:type="dxa"/>
        <w:jc w:val="center"/>
        <w:tblCellSpacing w:w="15" w:type="dxa"/>
        <w:tblBorders>
          <w:top w:val="single" w:sz="6" w:space="0" w:color="77BBFF"/>
          <w:left w:val="single" w:sz="6" w:space="0" w:color="77BBFF"/>
          <w:bottom w:val="single" w:sz="6" w:space="0" w:color="77BBFF"/>
          <w:right w:val="single" w:sz="6" w:space="0" w:color="77BBFF"/>
        </w:tblBorders>
        <w:tblCellMar>
          <w:top w:w="15" w:type="dxa"/>
          <w:left w:w="15" w:type="dxa"/>
          <w:bottom w:w="15" w:type="dxa"/>
          <w:right w:w="15" w:type="dxa"/>
        </w:tblCellMar>
        <w:tblLook w:val="04A0"/>
      </w:tblPr>
      <w:tblGrid>
        <w:gridCol w:w="930"/>
        <w:gridCol w:w="6090"/>
      </w:tblGrid>
      <w:tr w:rsidR="003006CB" w:rsidRPr="003006CB" w:rsidTr="003006CB">
        <w:trPr>
          <w:tblCellSpacing w:w="15" w:type="dxa"/>
          <w:jc w:val="center"/>
        </w:trPr>
        <w:tc>
          <w:tcPr>
            <w:tcW w:w="840" w:type="dxa"/>
            <w:vAlign w:val="center"/>
            <w:hideMark/>
          </w:tcPr>
          <w:p w:rsidR="003006CB" w:rsidRPr="003006CB" w:rsidRDefault="003006CB" w:rsidP="003006C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514350" cy="514350"/>
                  <wp:effectExtent l="19050" t="0" r="0" b="0"/>
                  <wp:docPr id="1" name="Immagine 1" descr="Modello DVR">
                    <a:hlinkClick xmlns:a="http://schemas.openxmlformats.org/drawingml/2006/main" r:id="rId9" tgtFrame="&quot;_blank&quot;" tooltip="&quot;Modelli DVR - Trasporto - DVR Sicurezza Autotraspor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lo DVR">
                            <a:hlinkClick r:id="rId9" tgtFrame="&quot;_blank&quot;" tooltip="&quot;Modelli DVR - Trasporto - DVR Sicurezza Autotrasporti&quot;"/>
                          </pic:cNvPr>
                          <pic:cNvPicPr>
                            <a:picLocks noChangeAspect="1" noChangeArrowheads="1"/>
                          </pic:cNvPicPr>
                        </pic:nvPicPr>
                        <pic:blipFill>
                          <a:blip r:embed="rId10"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0" w:type="auto"/>
            <w:hideMark/>
          </w:tcPr>
          <w:p w:rsidR="003006CB" w:rsidRPr="003006CB" w:rsidRDefault="003006CB" w:rsidP="003006CB">
            <w:pPr>
              <w:spacing w:after="0" w:line="240" w:lineRule="auto"/>
              <w:rPr>
                <w:rFonts w:ascii="Times New Roman" w:eastAsia="Times New Roman" w:hAnsi="Times New Roman" w:cs="Times New Roman"/>
                <w:sz w:val="24"/>
                <w:szCs w:val="24"/>
                <w:lang w:eastAsia="it-IT"/>
              </w:rPr>
            </w:pPr>
            <w:hyperlink r:id="rId11" w:tgtFrame="_blank" w:history="1">
              <w:r w:rsidRPr="003006CB">
                <w:rPr>
                  <w:rFonts w:ascii="Times New Roman" w:eastAsia="Times New Roman" w:hAnsi="Times New Roman" w:cs="Times New Roman"/>
                  <w:b/>
                  <w:bCs/>
                  <w:color w:val="0000FF"/>
                  <w:sz w:val="18"/>
                  <w:u w:val="single"/>
                  <w:lang w:eastAsia="it-IT"/>
                </w:rPr>
                <w:t>Modelli DVR - DVR Sicurezza Autotrasporti</w:t>
              </w:r>
            </w:hyperlink>
          </w:p>
          <w:p w:rsidR="003006CB" w:rsidRPr="003006CB" w:rsidRDefault="003006CB" w:rsidP="003006CB">
            <w:pPr>
              <w:spacing w:after="0" w:line="180" w:lineRule="atLeast"/>
              <w:rPr>
                <w:rFonts w:ascii="Times New Roman" w:eastAsia="Times New Roman" w:hAnsi="Times New Roman" w:cs="Times New Roman"/>
                <w:sz w:val="18"/>
                <w:szCs w:val="18"/>
                <w:lang w:eastAsia="it-IT"/>
              </w:rPr>
            </w:pPr>
            <w:r w:rsidRPr="003006CB">
              <w:rPr>
                <w:rFonts w:ascii="Times New Roman" w:eastAsia="Times New Roman" w:hAnsi="Times New Roman" w:cs="Times New Roman"/>
                <w:sz w:val="18"/>
                <w:szCs w:val="18"/>
                <w:lang w:eastAsia="it-IT"/>
              </w:rPr>
              <w:t>Categoria Istat: H - Trasporto E Magazzinaggio</w:t>
            </w:r>
          </w:p>
        </w:tc>
      </w:tr>
    </w:tbl>
    <w:p w:rsidR="003006CB" w:rsidRPr="003006CB" w:rsidRDefault="003006CB" w:rsidP="003006CB">
      <w:pPr>
        <w:spacing w:after="0" w:line="270" w:lineRule="atLeast"/>
        <w:rPr>
          <w:rFonts w:ascii="Times New Roman" w:eastAsia="Times New Roman" w:hAnsi="Times New Roman" w:cs="Times New Roman"/>
          <w:sz w:val="24"/>
          <w:szCs w:val="24"/>
          <w:lang w:eastAsia="it-IT"/>
        </w:rPr>
      </w:pP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Ricordiamo che già a partire dall’ADR 99 è stato introdotto l’obbligo, per le aziende, di addestrare il personale diverso dai conducenti e coinvolto nel </w:t>
      </w:r>
      <w:hyperlink r:id="rId12" w:history="1">
        <w:r w:rsidRPr="003006CB">
          <w:rPr>
            <w:rFonts w:ascii="Times New Roman" w:eastAsia="Times New Roman" w:hAnsi="Times New Roman" w:cs="Times New Roman"/>
            <w:color w:val="0000FF"/>
            <w:sz w:val="24"/>
            <w:szCs w:val="24"/>
            <w:u w:val="single"/>
            <w:lang w:eastAsia="it-IT"/>
          </w:rPr>
          <w:t>trasporto</w:t>
        </w:r>
      </w:hyperlink>
      <w:r w:rsidRPr="003006CB">
        <w:rPr>
          <w:rFonts w:ascii="Times New Roman" w:eastAsia="Times New Roman" w:hAnsi="Times New Roman" w:cs="Times New Roman"/>
          <w:sz w:val="24"/>
          <w:szCs w:val="24"/>
          <w:lang w:eastAsia="it-IT"/>
        </w:rPr>
        <w:t>di merci pericolose su strada.</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In particolare “tutte le persone le cui funzioni hanno a che fare con il trasporto di merci pericolose per strada devono avere ricevuto”,conformemente ora al capitolo 1.3 dell’ </w:t>
      </w:r>
      <w:hyperlink r:id="rId13" w:history="1">
        <w:r w:rsidRPr="003006CB">
          <w:rPr>
            <w:rFonts w:ascii="Times New Roman" w:eastAsia="Times New Roman" w:hAnsi="Times New Roman" w:cs="Times New Roman"/>
            <w:color w:val="0000FF"/>
            <w:sz w:val="24"/>
            <w:szCs w:val="24"/>
            <w:u w:val="single"/>
            <w:lang w:eastAsia="it-IT"/>
          </w:rPr>
          <w:t>ADR</w:t>
        </w:r>
      </w:hyperlink>
      <w:r w:rsidRPr="003006CB">
        <w:rPr>
          <w:rFonts w:ascii="Times New Roman" w:eastAsia="Times New Roman" w:hAnsi="Times New Roman" w:cs="Times New Roman"/>
          <w:sz w:val="24"/>
          <w:szCs w:val="24"/>
          <w:lang w:eastAsia="it-IT"/>
        </w:rPr>
        <w:t>2009, una “</w:t>
      </w:r>
      <w:r w:rsidRPr="003006CB">
        <w:rPr>
          <w:rFonts w:ascii="Times New Roman" w:eastAsia="Times New Roman" w:hAnsi="Times New Roman" w:cs="Times New Roman"/>
          <w:b/>
          <w:bCs/>
          <w:sz w:val="24"/>
          <w:szCs w:val="24"/>
          <w:lang w:eastAsia="it-IT"/>
        </w:rPr>
        <w:t>formazione</w:t>
      </w:r>
      <w:r w:rsidRPr="003006CB">
        <w:rPr>
          <w:rFonts w:ascii="Times New Roman" w:eastAsia="Times New Roman" w:hAnsi="Times New Roman" w:cs="Times New Roman"/>
          <w:sz w:val="24"/>
          <w:szCs w:val="24"/>
          <w:lang w:eastAsia="it-IT"/>
        </w:rPr>
        <w:t xml:space="preserve"> sulle disposizioni che regolano il trasporto di queste merci, rispondente alle loro responsabilità e funzioni”.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Prescrizione che si applica, per esempio, “al personale impiegato dal trasportatore o dallo speditore o dal committente o dal mittente, al personale che carica e scarica le </w:t>
      </w:r>
      <w:hyperlink r:id="rId14" w:history="1">
        <w:r w:rsidRPr="003006CB">
          <w:rPr>
            <w:rFonts w:ascii="Times New Roman" w:eastAsia="Times New Roman" w:hAnsi="Times New Roman" w:cs="Times New Roman"/>
            <w:color w:val="0000FF"/>
            <w:sz w:val="24"/>
            <w:szCs w:val="24"/>
            <w:u w:val="single"/>
            <w:lang w:eastAsia="it-IT"/>
          </w:rPr>
          <w:t>merci</w:t>
        </w:r>
      </w:hyperlink>
      <w:r w:rsidRPr="003006CB">
        <w:rPr>
          <w:rFonts w:ascii="Times New Roman" w:eastAsia="Times New Roman" w:hAnsi="Times New Roman" w:cs="Times New Roman"/>
          <w:sz w:val="24"/>
          <w:szCs w:val="24"/>
          <w:lang w:eastAsia="it-IT"/>
        </w:rPr>
        <w:t>pericolose, al personale che lavora per i depositi intermedi o le agenzie di spedizione e ai conducenti non previsti al punto 8.2.1 dell’ADR”.</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Inoltre tale obbligo “sussiste a prescindere dalle quantità trasportate, essendo esteso a tutti gli operatori, coinvolgendo anche il regime delle quantità limitate per unità di trasporto” e delle merci imballate in quantità esenti. Sono esclusi, invece, i </w:t>
      </w:r>
      <w:hyperlink r:id="rId15" w:history="1">
        <w:r w:rsidRPr="003006CB">
          <w:rPr>
            <w:rFonts w:ascii="Times New Roman" w:eastAsia="Times New Roman" w:hAnsi="Times New Roman" w:cs="Times New Roman"/>
            <w:color w:val="0000FF"/>
            <w:sz w:val="24"/>
            <w:szCs w:val="24"/>
            <w:u w:val="single"/>
            <w:lang w:eastAsia="it-IT"/>
          </w:rPr>
          <w:t>trasporti</w:t>
        </w:r>
      </w:hyperlink>
      <w:r w:rsidRPr="003006CB">
        <w:rPr>
          <w:rFonts w:ascii="Times New Roman" w:eastAsia="Times New Roman" w:hAnsi="Times New Roman" w:cs="Times New Roman"/>
          <w:sz w:val="24"/>
          <w:szCs w:val="24"/>
          <w:lang w:eastAsia="it-IT"/>
        </w:rPr>
        <w:t>in esenzione totale.</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In particolare l’ADR 2009 sottolinea che “</w:t>
      </w:r>
      <w:r w:rsidRPr="003006CB">
        <w:rPr>
          <w:rFonts w:ascii="Times New Roman" w:eastAsia="Times New Roman" w:hAnsi="Times New Roman" w:cs="Times New Roman"/>
          <w:b/>
          <w:bCs/>
          <w:sz w:val="24"/>
          <w:szCs w:val="24"/>
          <w:lang w:eastAsia="it-IT"/>
        </w:rPr>
        <w:t>la formazione deve essere stata acquisita prima di assumere la responsabilità concernente il trasporto di merci pericolose</w:t>
      </w:r>
      <w:r w:rsidRPr="003006CB">
        <w:rPr>
          <w:rFonts w:ascii="Times New Roman" w:eastAsia="Times New Roman" w:hAnsi="Times New Roman" w:cs="Times New Roman"/>
          <w:sz w:val="24"/>
          <w:szCs w:val="24"/>
          <w:lang w:eastAsia="it-IT"/>
        </w:rPr>
        <w:t>”.</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Riguardo alla </w:t>
      </w:r>
      <w:r w:rsidRPr="003006CB">
        <w:rPr>
          <w:rFonts w:ascii="Times New Roman" w:eastAsia="Times New Roman" w:hAnsi="Times New Roman" w:cs="Times New Roman"/>
          <w:b/>
          <w:bCs/>
          <w:sz w:val="24"/>
          <w:szCs w:val="24"/>
          <w:lang w:eastAsia="it-IT"/>
        </w:rPr>
        <w:t>classificazione delle materie pericolose</w:t>
      </w:r>
      <w:r w:rsidRPr="003006CB">
        <w:rPr>
          <w:rFonts w:ascii="Times New Roman" w:eastAsia="Times New Roman" w:hAnsi="Times New Roman" w:cs="Times New Roman"/>
          <w:sz w:val="24"/>
          <w:szCs w:val="24"/>
          <w:lang w:eastAsia="it-IT"/>
        </w:rPr>
        <w:t xml:space="preserve">, la sezione 2.2.9 (materie ed oggetti pericolosi diversi - classe 9), è stata “radicalmente modificata per quanto riguarda le materie pericolose per l’ambiente per recepire i criteri di classificazione definiti in ambito </w:t>
      </w:r>
      <w:hyperlink r:id="rId16" w:history="1">
        <w:r w:rsidRPr="003006CB">
          <w:rPr>
            <w:rFonts w:ascii="Times New Roman" w:eastAsia="Times New Roman" w:hAnsi="Times New Roman" w:cs="Times New Roman"/>
            <w:color w:val="0000FF"/>
            <w:sz w:val="24"/>
            <w:szCs w:val="24"/>
            <w:u w:val="single"/>
            <w:lang w:eastAsia="it-IT"/>
          </w:rPr>
          <w:t>GHS</w:t>
        </w:r>
      </w:hyperlink>
      <w:r w:rsidRPr="003006CB">
        <w:rPr>
          <w:rFonts w:ascii="Times New Roman" w:eastAsia="Times New Roman" w:hAnsi="Times New Roman" w:cs="Times New Roman"/>
          <w:sz w:val="24"/>
          <w:szCs w:val="24"/>
          <w:lang w:eastAsia="it-IT"/>
        </w:rPr>
        <w:t xml:space="preserve">(il sistema globale armonizzato di classificazione ed etichettature dei </w:t>
      </w:r>
      <w:hyperlink r:id="rId17" w:history="1">
        <w:r w:rsidRPr="003006CB">
          <w:rPr>
            <w:rFonts w:ascii="Times New Roman" w:eastAsia="Times New Roman" w:hAnsi="Times New Roman" w:cs="Times New Roman"/>
            <w:color w:val="0000FF"/>
            <w:sz w:val="24"/>
            <w:szCs w:val="24"/>
            <w:u w:val="single"/>
            <w:lang w:eastAsia="it-IT"/>
          </w:rPr>
          <w:t>prodotti chimici</w:t>
        </w:r>
      </w:hyperlink>
      <w:r w:rsidRPr="003006CB">
        <w:rPr>
          <w:rFonts w:ascii="Times New Roman" w:eastAsia="Times New Roman" w:hAnsi="Times New Roman" w:cs="Times New Roman"/>
          <w:sz w:val="24"/>
          <w:szCs w:val="24"/>
          <w:lang w:eastAsia="it-IT"/>
        </w:rPr>
        <w:t>), basati su tossicità acuta e cronica per l’ambiente acquatico, bioaccumulazione, degradazione biotica e abiotica dei componenti organici”.</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Su tale base “le </w:t>
      </w:r>
      <w:r w:rsidRPr="003006CB">
        <w:rPr>
          <w:rFonts w:ascii="Times New Roman" w:eastAsia="Times New Roman" w:hAnsi="Times New Roman" w:cs="Times New Roman"/>
          <w:b/>
          <w:bCs/>
          <w:sz w:val="24"/>
          <w:szCs w:val="24"/>
          <w:lang w:eastAsia="it-IT"/>
        </w:rPr>
        <w:t>materie pericolose per l’ambiente</w:t>
      </w:r>
      <w:r w:rsidRPr="003006CB">
        <w:rPr>
          <w:rFonts w:ascii="Times New Roman" w:eastAsia="Times New Roman" w:hAnsi="Times New Roman" w:cs="Times New Roman"/>
          <w:sz w:val="24"/>
          <w:szCs w:val="24"/>
          <w:lang w:eastAsia="it-IT"/>
        </w:rPr>
        <w:t xml:space="preserve"> (acquatico) sono classificate in 3 categorie: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 tossicità acuta 1;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 tossicità cronica 1;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tossicità cronica 2”.</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E sono stati definiti “nuovi criteri di classificazione anche per le </w:t>
      </w:r>
      <w:r w:rsidRPr="003006CB">
        <w:rPr>
          <w:rFonts w:ascii="Times New Roman" w:eastAsia="Times New Roman" w:hAnsi="Times New Roman" w:cs="Times New Roman"/>
          <w:b/>
          <w:bCs/>
          <w:sz w:val="24"/>
          <w:szCs w:val="24"/>
          <w:lang w:eastAsia="it-IT"/>
        </w:rPr>
        <w:t>miscele</w:t>
      </w:r>
      <w:r w:rsidRPr="003006CB">
        <w:rPr>
          <w:rFonts w:ascii="Times New Roman" w:eastAsia="Times New Roman" w:hAnsi="Times New Roman" w:cs="Times New Roman"/>
          <w:sz w:val="24"/>
          <w:szCs w:val="24"/>
          <w:lang w:eastAsia="it-IT"/>
        </w:rPr>
        <w:t xml:space="preserve"> contenenti </w:t>
      </w:r>
      <w:hyperlink r:id="rId18" w:history="1">
        <w:r w:rsidRPr="003006CB">
          <w:rPr>
            <w:rFonts w:ascii="Times New Roman" w:eastAsia="Times New Roman" w:hAnsi="Times New Roman" w:cs="Times New Roman"/>
            <w:color w:val="0000FF"/>
            <w:sz w:val="24"/>
            <w:szCs w:val="24"/>
            <w:u w:val="single"/>
            <w:lang w:eastAsia="it-IT"/>
          </w:rPr>
          <w:t>materie pericolose</w:t>
        </w:r>
      </w:hyperlink>
      <w:r w:rsidRPr="003006CB">
        <w:rPr>
          <w:rFonts w:ascii="Times New Roman" w:eastAsia="Times New Roman" w:hAnsi="Times New Roman" w:cs="Times New Roman"/>
          <w:sz w:val="24"/>
          <w:szCs w:val="24"/>
          <w:lang w:eastAsia="it-IT"/>
        </w:rPr>
        <w:t xml:space="preserve"> per l’ambiente (acquatico), basati essenzialmente su un procedimento graduale, che si sviluppa in relazione al tipo di informazione disponibile. Viene inoltre richiesto di classificare comunque come materie pericolose per l’ambiente le sostanze o miscele che sono classificate come tali dalle Direttive 67/54/CEE e 1999/45/CEE”.</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Rimandandovi alla lettura integrale delle linee guida prodotte da Assogastecnici, ci soffermiamo sulle prescrizioni riguardanti i </w:t>
      </w:r>
      <w:hyperlink r:id="rId19" w:history="1">
        <w:r w:rsidRPr="003006CB">
          <w:rPr>
            <w:rFonts w:ascii="Times New Roman" w:eastAsia="Times New Roman" w:hAnsi="Times New Roman" w:cs="Times New Roman"/>
            <w:color w:val="0000FF"/>
            <w:sz w:val="24"/>
            <w:szCs w:val="24"/>
            <w:u w:val="single"/>
            <w:lang w:eastAsia="it-IT"/>
          </w:rPr>
          <w:t>veicoli</w:t>
        </w:r>
      </w:hyperlink>
      <w:r w:rsidRPr="003006CB">
        <w:rPr>
          <w:rFonts w:ascii="Times New Roman" w:eastAsia="Times New Roman" w:hAnsi="Times New Roman" w:cs="Times New Roman"/>
          <w:sz w:val="24"/>
          <w:szCs w:val="24"/>
          <w:lang w:eastAsia="it-IT"/>
        </w:rPr>
        <w:t xml:space="preserve">per trasporto di merci pericolose con riferimento specifico agli </w:t>
      </w:r>
      <w:r w:rsidRPr="003006CB">
        <w:rPr>
          <w:rFonts w:ascii="Times New Roman" w:eastAsia="Times New Roman" w:hAnsi="Times New Roman" w:cs="Times New Roman"/>
          <w:b/>
          <w:bCs/>
          <w:sz w:val="24"/>
          <w:szCs w:val="24"/>
          <w:lang w:eastAsia="it-IT"/>
        </w:rPr>
        <w:t>equipaggiamenti diversi</w:t>
      </w:r>
      <w:r w:rsidRPr="003006CB">
        <w:rPr>
          <w:rFonts w:ascii="Times New Roman" w:eastAsia="Times New Roman" w:hAnsi="Times New Roman" w:cs="Times New Roman"/>
          <w:sz w:val="24"/>
          <w:szCs w:val="24"/>
          <w:lang w:eastAsia="it-IT"/>
        </w:rPr>
        <w:t xml:space="preserve"> e all’</w:t>
      </w:r>
      <w:r w:rsidRPr="003006CB">
        <w:rPr>
          <w:rFonts w:ascii="Times New Roman" w:eastAsia="Times New Roman" w:hAnsi="Times New Roman" w:cs="Times New Roman"/>
          <w:b/>
          <w:bCs/>
          <w:sz w:val="24"/>
          <w:szCs w:val="24"/>
          <w:lang w:eastAsia="it-IT"/>
        </w:rPr>
        <w:t>equipaggiamento di protezione individuale</w:t>
      </w:r>
      <w:r w:rsidRPr="003006CB">
        <w:rPr>
          <w:rFonts w:ascii="Times New Roman" w:eastAsia="Times New Roman" w:hAnsi="Times New Roman" w:cs="Times New Roman"/>
          <w:sz w:val="24"/>
          <w:szCs w:val="24"/>
          <w:lang w:eastAsia="it-IT"/>
        </w:rPr>
        <w:t>.</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lastRenderedPageBreak/>
        <w:t xml:space="preserve">Secondo il documento di Assogastecnici “ogni unità di trasporto contenente merci pericolose a bordo deve essere munita di </w:t>
      </w:r>
      <w:hyperlink r:id="rId20" w:history="1">
        <w:r w:rsidRPr="003006CB">
          <w:rPr>
            <w:rFonts w:ascii="Times New Roman" w:eastAsia="Times New Roman" w:hAnsi="Times New Roman" w:cs="Times New Roman"/>
            <w:color w:val="0000FF"/>
            <w:sz w:val="24"/>
            <w:szCs w:val="24"/>
            <w:u w:val="single"/>
            <w:lang w:eastAsia="it-IT"/>
          </w:rPr>
          <w:t>equipaggiamenti di protezione generale</w:t>
        </w:r>
      </w:hyperlink>
      <w:r w:rsidRPr="003006CB">
        <w:rPr>
          <w:rFonts w:ascii="Times New Roman" w:eastAsia="Times New Roman" w:hAnsi="Times New Roman" w:cs="Times New Roman"/>
          <w:sz w:val="24"/>
          <w:szCs w:val="24"/>
          <w:lang w:eastAsia="it-IT"/>
        </w:rPr>
        <w:t xml:space="preserve"> e individuale secondo quanto sotto riportato”.</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In particolare “gli equipaggiamenti devono essere scelti secondo il numero della etichetta di pericolo delle merci a bordo. I numeri delle etichette si trovano nel documento di trasporto”.</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In ogni caso ogni unità di trasporto, quale che sia il numero della etichetta di pericolo, deve avere a bordo precisi </w:t>
      </w:r>
      <w:r w:rsidRPr="003006CB">
        <w:rPr>
          <w:rFonts w:ascii="Times New Roman" w:eastAsia="Times New Roman" w:hAnsi="Times New Roman" w:cs="Times New Roman"/>
          <w:b/>
          <w:bCs/>
          <w:sz w:val="24"/>
          <w:szCs w:val="24"/>
          <w:lang w:eastAsia="it-IT"/>
        </w:rPr>
        <w:t>equipaggiamenti</w:t>
      </w:r>
      <w:r w:rsidRPr="003006CB">
        <w:rPr>
          <w:rFonts w:ascii="Times New Roman" w:eastAsia="Times New Roman" w:hAnsi="Times New Roman" w:cs="Times New Roman"/>
          <w:sz w:val="24"/>
          <w:szCs w:val="24"/>
          <w:lang w:eastAsia="it-IT"/>
        </w:rPr>
        <w:t>.</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Ad esempio </w:t>
      </w:r>
      <w:r w:rsidRPr="003006CB">
        <w:rPr>
          <w:rFonts w:ascii="Times New Roman" w:eastAsia="Times New Roman" w:hAnsi="Times New Roman" w:cs="Times New Roman"/>
          <w:b/>
          <w:bCs/>
          <w:sz w:val="24"/>
          <w:szCs w:val="24"/>
          <w:lang w:eastAsia="it-IT"/>
        </w:rPr>
        <w:t>per ogni veicolo</w:t>
      </w:r>
      <w:r w:rsidRPr="003006CB">
        <w:rPr>
          <w:rFonts w:ascii="Times New Roman" w:eastAsia="Times New Roman" w:hAnsi="Times New Roman" w:cs="Times New Roman"/>
          <w:sz w:val="24"/>
          <w:szCs w:val="24"/>
          <w:lang w:eastAsia="it-IT"/>
        </w:rPr>
        <w:t xml:space="preserve"> deve essere presente:</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 “almeno un ceppo di dimensioni adeguate alla massa massima del veicolo ed al diametro delle ruote;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 due segnali d'avvertimento autoportanti;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liquido lavaocchi” (non richiesto per i numeri di etichetta di pericolo 1, 1.4, 1.5, 1.6, 2.1, 2.2 e 2.3).</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Invece</w:t>
      </w:r>
      <w:r w:rsidRPr="003006CB">
        <w:rPr>
          <w:rFonts w:ascii="Times New Roman" w:eastAsia="Times New Roman" w:hAnsi="Times New Roman" w:cs="Times New Roman"/>
          <w:b/>
          <w:bCs/>
          <w:sz w:val="24"/>
          <w:szCs w:val="24"/>
          <w:lang w:eastAsia="it-IT"/>
        </w:rPr>
        <w:t xml:space="preserve"> per ogni membro dell’equipaggio</w:t>
      </w:r>
      <w:r w:rsidRPr="003006CB">
        <w:rPr>
          <w:rFonts w:ascii="Times New Roman" w:eastAsia="Times New Roman" w:hAnsi="Times New Roman" w:cs="Times New Roman"/>
          <w:sz w:val="24"/>
          <w:szCs w:val="24"/>
          <w:lang w:eastAsia="it-IT"/>
        </w:rPr>
        <w:t xml:space="preserve">: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 “un'imbracatura fluorescente (per esempio come quella descritto nella norma europea EN 471);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 una lampada portatile” (conforme alle disposizioni della sezione 8.3.4);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 “un paio di guanti di protezione;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un mezzo di protezione degli occhi (per esempio occhiali protettivi)”.</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Inoltre deve essere presente un </w:t>
      </w:r>
      <w:r w:rsidRPr="003006CB">
        <w:rPr>
          <w:rFonts w:ascii="Times New Roman" w:eastAsia="Times New Roman" w:hAnsi="Times New Roman" w:cs="Times New Roman"/>
          <w:b/>
          <w:bCs/>
          <w:sz w:val="24"/>
          <w:szCs w:val="24"/>
          <w:lang w:eastAsia="it-IT"/>
        </w:rPr>
        <w:t>equipaggiamento supplementare</w:t>
      </w:r>
      <w:r w:rsidRPr="003006CB">
        <w:rPr>
          <w:rFonts w:ascii="Times New Roman" w:eastAsia="Times New Roman" w:hAnsi="Times New Roman" w:cs="Times New Roman"/>
          <w:sz w:val="24"/>
          <w:szCs w:val="24"/>
          <w:lang w:eastAsia="it-IT"/>
        </w:rPr>
        <w:t xml:space="preserve"> per certe classi: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 una </w:t>
      </w:r>
      <w:hyperlink r:id="rId21" w:history="1">
        <w:r w:rsidRPr="003006CB">
          <w:rPr>
            <w:rFonts w:ascii="Times New Roman" w:eastAsia="Times New Roman" w:hAnsi="Times New Roman" w:cs="Times New Roman"/>
            <w:color w:val="0000FF"/>
            <w:sz w:val="24"/>
            <w:szCs w:val="24"/>
            <w:u w:val="single"/>
            <w:lang w:eastAsia="it-IT"/>
          </w:rPr>
          <w:t>maschera</w:t>
        </w:r>
      </w:hyperlink>
      <w:r w:rsidRPr="003006CB">
        <w:rPr>
          <w:rFonts w:ascii="Times New Roman" w:eastAsia="Times New Roman" w:hAnsi="Times New Roman" w:cs="Times New Roman"/>
          <w:sz w:val="24"/>
          <w:szCs w:val="24"/>
          <w:lang w:eastAsia="it-IT"/>
        </w:rPr>
        <w:t xml:space="preserve">di evacuazione di emergenza (per esempio, una </w:t>
      </w:r>
      <w:hyperlink r:id="rId22" w:history="1">
        <w:r w:rsidRPr="003006CB">
          <w:rPr>
            <w:rFonts w:ascii="Times New Roman" w:eastAsia="Times New Roman" w:hAnsi="Times New Roman" w:cs="Times New Roman"/>
            <w:color w:val="0000FF"/>
            <w:sz w:val="24"/>
            <w:szCs w:val="24"/>
            <w:u w:val="single"/>
            <w:lang w:eastAsia="it-IT"/>
          </w:rPr>
          <w:t>maschera</w:t>
        </w:r>
      </w:hyperlink>
      <w:r w:rsidRPr="003006CB">
        <w:rPr>
          <w:rFonts w:ascii="Times New Roman" w:eastAsia="Times New Roman" w:hAnsi="Times New Roman" w:cs="Times New Roman"/>
          <w:sz w:val="24"/>
          <w:szCs w:val="24"/>
          <w:lang w:eastAsia="it-IT"/>
        </w:rPr>
        <w:t xml:space="preserve">di evacuazione di emergenza con filtro combinato gas/polveri del tipo A1B1E1K1-P1 o A2B2E2K2-P2 simile a quella descritta nella norma EN 141) per ogni membro dell’equipaggio del veicolo per i numeri delle etichette di pericolo 2.3 o 6.1;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un badile, un copritombino e un contenitore di plastica per la raccolta (richiesti solo per i numeri di etichetta di pericolo 3, 4.1, 4.3, 8 e 9).</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Infine concludiamo riportando alcune prescrizioni delle linee guida che riguardano </w:t>
      </w:r>
      <w:r w:rsidRPr="003006CB">
        <w:rPr>
          <w:rFonts w:ascii="Times New Roman" w:eastAsia="Times New Roman" w:hAnsi="Times New Roman" w:cs="Times New Roman"/>
          <w:b/>
          <w:bCs/>
          <w:sz w:val="24"/>
          <w:szCs w:val="24"/>
          <w:lang w:eastAsia="it-IT"/>
        </w:rPr>
        <w:t>il conducente</w:t>
      </w:r>
      <w:r w:rsidRPr="003006CB">
        <w:rPr>
          <w:rFonts w:ascii="Times New Roman" w:eastAsia="Times New Roman" w:hAnsi="Times New Roman" w:cs="Times New Roman"/>
          <w:sz w:val="24"/>
          <w:szCs w:val="24"/>
          <w:lang w:eastAsia="it-IT"/>
        </w:rPr>
        <w:t>.</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I </w:t>
      </w:r>
      <w:hyperlink r:id="rId23" w:history="1">
        <w:r w:rsidRPr="003006CB">
          <w:rPr>
            <w:rFonts w:ascii="Times New Roman" w:eastAsia="Times New Roman" w:hAnsi="Times New Roman" w:cs="Times New Roman"/>
            <w:color w:val="0000FF"/>
            <w:sz w:val="24"/>
            <w:szCs w:val="24"/>
            <w:u w:val="single"/>
            <w:lang w:eastAsia="it-IT"/>
          </w:rPr>
          <w:t>conducenti dei veicoli</w:t>
        </w:r>
      </w:hyperlink>
      <w:r w:rsidRPr="003006CB">
        <w:rPr>
          <w:rFonts w:ascii="Times New Roman" w:eastAsia="Times New Roman" w:hAnsi="Times New Roman" w:cs="Times New Roman"/>
          <w:sz w:val="24"/>
          <w:szCs w:val="24"/>
          <w:lang w:eastAsia="it-IT"/>
        </w:rPr>
        <w:t xml:space="preserve"> “trasportanti merci pericolose della Classe 2 in quantità superiore ai limiti di esenzione del 1.1.3.6 devono possedere un </w:t>
      </w:r>
      <w:r w:rsidRPr="003006CB">
        <w:rPr>
          <w:rFonts w:ascii="Times New Roman" w:eastAsia="Times New Roman" w:hAnsi="Times New Roman" w:cs="Times New Roman"/>
          <w:b/>
          <w:bCs/>
          <w:sz w:val="24"/>
          <w:szCs w:val="24"/>
          <w:lang w:eastAsia="it-IT"/>
        </w:rPr>
        <w:t>certificato di formazione professionale</w:t>
      </w:r>
      <w:r w:rsidRPr="003006CB">
        <w:rPr>
          <w:rFonts w:ascii="Times New Roman" w:eastAsia="Times New Roman" w:hAnsi="Times New Roman" w:cs="Times New Roman"/>
          <w:sz w:val="24"/>
          <w:szCs w:val="24"/>
          <w:lang w:eastAsia="it-IT"/>
        </w:rPr>
        <w:t>(c.f.p.) costituito da un patentino attestante la partecipazione ad un corso ed il superamento dei relativi esami”.</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Riguardo ai </w:t>
      </w:r>
      <w:r w:rsidRPr="003006CB">
        <w:rPr>
          <w:rFonts w:ascii="Times New Roman" w:eastAsia="Times New Roman" w:hAnsi="Times New Roman" w:cs="Times New Roman"/>
          <w:b/>
          <w:bCs/>
          <w:sz w:val="24"/>
          <w:szCs w:val="24"/>
          <w:lang w:eastAsia="it-IT"/>
        </w:rPr>
        <w:t>periodi di guida e di riposo</w:t>
      </w:r>
      <w:r w:rsidRPr="003006CB">
        <w:rPr>
          <w:rFonts w:ascii="Times New Roman" w:eastAsia="Times New Roman" w:hAnsi="Times New Roman" w:cs="Times New Roman"/>
          <w:sz w:val="24"/>
          <w:szCs w:val="24"/>
          <w:lang w:eastAsia="it-IT"/>
        </w:rPr>
        <w:t xml:space="preserve"> si ricorda che l’art. 174 del </w:t>
      </w:r>
      <w:hyperlink r:id="rId24" w:history="1">
        <w:r w:rsidRPr="003006CB">
          <w:rPr>
            <w:rFonts w:ascii="Times New Roman" w:eastAsia="Times New Roman" w:hAnsi="Times New Roman" w:cs="Times New Roman"/>
            <w:color w:val="0000FF"/>
            <w:sz w:val="24"/>
            <w:szCs w:val="24"/>
            <w:u w:val="single"/>
            <w:lang w:eastAsia="it-IT"/>
          </w:rPr>
          <w:t>nuovo Codice della Strada</w:t>
        </w:r>
      </w:hyperlink>
      <w:r w:rsidRPr="003006CB">
        <w:rPr>
          <w:rFonts w:ascii="Times New Roman" w:eastAsia="Times New Roman" w:hAnsi="Times New Roman" w:cs="Times New Roman"/>
          <w:sz w:val="24"/>
          <w:szCs w:val="24"/>
          <w:lang w:eastAsia="it-IT"/>
        </w:rPr>
        <w:t xml:space="preserve"> e il Regolamento CE 561/06 in vigore dall’11 aprile 2007 “disciplinano la durata dei periodi di guida e di riposo dei conducenti di autoveicoli adibiti al trasporto di persone e/o cose secondo i seguenti criteri: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xml:space="preserve">- il periodo di guida giornaliero massimo è di 9 ore (eccezioni: per due volte nella stessa settimana può essere esteso a 10 ore giornaliere); </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il periodo di guida settimanale non deve superare le 56 ore. In due settimane consecutive le ore di guida massime consentite rimangono fissate in 90 ore”;</w:t>
      </w:r>
    </w:p>
    <w:p w:rsidR="003006CB" w:rsidRPr="003006CB" w:rsidRDefault="003006CB" w:rsidP="003006CB">
      <w:pPr>
        <w:spacing w:after="0" w:line="270" w:lineRule="atLeast"/>
        <w:rPr>
          <w:rFonts w:ascii="Times New Roman" w:eastAsia="Times New Roman" w:hAnsi="Times New Roman" w:cs="Times New Roman"/>
          <w:sz w:val="24"/>
          <w:szCs w:val="24"/>
          <w:lang w:eastAsia="it-IT"/>
        </w:rPr>
      </w:pPr>
      <w:r w:rsidRPr="003006CB">
        <w:rPr>
          <w:rFonts w:ascii="Times New Roman" w:eastAsia="Times New Roman" w:hAnsi="Times New Roman" w:cs="Times New Roman"/>
          <w:sz w:val="24"/>
          <w:szCs w:val="24"/>
          <w:lang w:eastAsia="it-IT"/>
        </w:rPr>
        <w:t>- il periodo complessivo di guida consecutiva massimo è di 4 ore e 30 minuti, al termine del quale il conducente deve effettuare una pausa di riposo. Durante tale pausa, che non rientra nel conteggio del riposo giornaliero, non possono essere svolte altre attività lavorative. La pausa deve essere così articolata: una pausa di 45 minuti, oppure due pause, la prima di almeno 15 minuti, la seconda di almeno 30 minuti”.</w:t>
      </w:r>
    </w:p>
    <w:p w:rsidR="00C04ED6" w:rsidRDefault="00C04ED6"/>
    <w:sectPr w:rsidR="00C04ED6" w:rsidSect="00C04E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006CB"/>
    <w:rsid w:val="003006CB"/>
    <w:rsid w:val="00C04E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4E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006CB"/>
    <w:rPr>
      <w:color w:val="0000FF"/>
      <w:u w:val="single"/>
    </w:rPr>
  </w:style>
  <w:style w:type="character" w:styleId="Enfasigrassetto">
    <w:name w:val="Strong"/>
    <w:basedOn w:val="Carpredefinitoparagrafo"/>
    <w:uiPriority w:val="22"/>
    <w:qFormat/>
    <w:rsid w:val="003006CB"/>
    <w:rPr>
      <w:b/>
      <w:bCs/>
    </w:rPr>
  </w:style>
  <w:style w:type="character" w:customStyle="1" w:styleId="editorpiccolo">
    <w:name w:val="editor_piccolo"/>
    <w:basedOn w:val="Carpredefinitoparagrafo"/>
    <w:rsid w:val="003006CB"/>
  </w:style>
  <w:style w:type="paragraph" w:styleId="Testofumetto">
    <w:name w:val="Balloon Text"/>
    <w:basedOn w:val="Normale"/>
    <w:link w:val="TestofumettoCarattere"/>
    <w:uiPriority w:val="99"/>
    <w:semiHidden/>
    <w:unhideWhenUsed/>
    <w:rsid w:val="003006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0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146715">
      <w:bodyDiv w:val="1"/>
      <w:marLeft w:val="0"/>
      <w:marRight w:val="0"/>
      <w:marTop w:val="0"/>
      <w:marBottom w:val="0"/>
      <w:divBdr>
        <w:top w:val="none" w:sz="0" w:space="0" w:color="auto"/>
        <w:left w:val="none" w:sz="0" w:space="0" w:color="auto"/>
        <w:bottom w:val="none" w:sz="0" w:space="0" w:color="auto"/>
        <w:right w:val="none" w:sz="0" w:space="0" w:color="auto"/>
      </w:divBdr>
      <w:divsChild>
        <w:div w:id="1690913907">
          <w:marLeft w:val="0"/>
          <w:marRight w:val="0"/>
          <w:marTop w:val="0"/>
          <w:marBottom w:val="0"/>
          <w:divBdr>
            <w:top w:val="none" w:sz="0" w:space="0" w:color="auto"/>
            <w:left w:val="none" w:sz="0" w:space="0" w:color="auto"/>
            <w:bottom w:val="none" w:sz="0" w:space="0" w:color="auto"/>
            <w:right w:val="none" w:sz="0" w:space="0" w:color="auto"/>
          </w:divBdr>
          <w:divsChild>
            <w:div w:id="627510334">
              <w:marLeft w:val="0"/>
              <w:marRight w:val="0"/>
              <w:marTop w:val="0"/>
              <w:marBottom w:val="0"/>
              <w:divBdr>
                <w:top w:val="none" w:sz="0" w:space="0" w:color="auto"/>
                <w:left w:val="none" w:sz="0" w:space="0" w:color="auto"/>
                <w:bottom w:val="none" w:sz="0" w:space="0" w:color="auto"/>
                <w:right w:val="none" w:sz="0" w:space="0" w:color="auto"/>
              </w:divBdr>
            </w:div>
            <w:div w:id="758525931">
              <w:marLeft w:val="0"/>
              <w:marRight w:val="0"/>
              <w:marTop w:val="0"/>
              <w:marBottom w:val="0"/>
              <w:divBdr>
                <w:top w:val="none" w:sz="0" w:space="0" w:color="auto"/>
                <w:left w:val="none" w:sz="0" w:space="0" w:color="auto"/>
                <w:bottom w:val="none" w:sz="0" w:space="0" w:color="auto"/>
                <w:right w:val="none" w:sz="0" w:space="0" w:color="auto"/>
              </w:divBdr>
            </w:div>
            <w:div w:id="1441291049">
              <w:marLeft w:val="0"/>
              <w:marRight w:val="0"/>
              <w:marTop w:val="0"/>
              <w:marBottom w:val="0"/>
              <w:divBdr>
                <w:top w:val="none" w:sz="0" w:space="0" w:color="auto"/>
                <w:left w:val="none" w:sz="0" w:space="0" w:color="auto"/>
                <w:bottom w:val="none" w:sz="0" w:space="0" w:color="auto"/>
                <w:right w:val="none" w:sz="0" w:space="0" w:color="auto"/>
              </w:divBdr>
            </w:div>
            <w:div w:id="1201671550">
              <w:marLeft w:val="0"/>
              <w:marRight w:val="0"/>
              <w:marTop w:val="0"/>
              <w:marBottom w:val="0"/>
              <w:divBdr>
                <w:top w:val="none" w:sz="0" w:space="0" w:color="auto"/>
                <w:left w:val="none" w:sz="0" w:space="0" w:color="auto"/>
                <w:bottom w:val="none" w:sz="0" w:space="0" w:color="auto"/>
                <w:right w:val="none" w:sz="0" w:space="0" w:color="auto"/>
              </w:divBdr>
            </w:div>
            <w:div w:id="638657102">
              <w:marLeft w:val="0"/>
              <w:marRight w:val="0"/>
              <w:marTop w:val="0"/>
              <w:marBottom w:val="0"/>
              <w:divBdr>
                <w:top w:val="none" w:sz="0" w:space="0" w:color="auto"/>
                <w:left w:val="none" w:sz="0" w:space="0" w:color="auto"/>
                <w:bottom w:val="none" w:sz="0" w:space="0" w:color="auto"/>
                <w:right w:val="none" w:sz="0" w:space="0" w:color="auto"/>
              </w:divBdr>
            </w:div>
            <w:div w:id="305430001">
              <w:marLeft w:val="0"/>
              <w:marRight w:val="0"/>
              <w:marTop w:val="0"/>
              <w:marBottom w:val="0"/>
              <w:divBdr>
                <w:top w:val="none" w:sz="0" w:space="0" w:color="auto"/>
                <w:left w:val="none" w:sz="0" w:space="0" w:color="auto"/>
                <w:bottom w:val="none" w:sz="0" w:space="0" w:color="auto"/>
                <w:right w:val="none" w:sz="0" w:space="0" w:color="auto"/>
              </w:divBdr>
            </w:div>
            <w:div w:id="786388455">
              <w:marLeft w:val="0"/>
              <w:marRight w:val="0"/>
              <w:marTop w:val="0"/>
              <w:marBottom w:val="0"/>
              <w:divBdr>
                <w:top w:val="none" w:sz="0" w:space="0" w:color="auto"/>
                <w:left w:val="none" w:sz="0" w:space="0" w:color="auto"/>
                <w:bottom w:val="none" w:sz="0" w:space="0" w:color="auto"/>
                <w:right w:val="none" w:sz="0" w:space="0" w:color="auto"/>
              </w:divBdr>
            </w:div>
            <w:div w:id="432165474">
              <w:marLeft w:val="0"/>
              <w:marRight w:val="0"/>
              <w:marTop w:val="0"/>
              <w:marBottom w:val="0"/>
              <w:divBdr>
                <w:top w:val="none" w:sz="0" w:space="0" w:color="auto"/>
                <w:left w:val="none" w:sz="0" w:space="0" w:color="auto"/>
                <w:bottom w:val="none" w:sz="0" w:space="0" w:color="auto"/>
                <w:right w:val="none" w:sz="0" w:space="0" w:color="auto"/>
              </w:divBdr>
            </w:div>
            <w:div w:id="332493830">
              <w:marLeft w:val="0"/>
              <w:marRight w:val="0"/>
              <w:marTop w:val="0"/>
              <w:marBottom w:val="0"/>
              <w:divBdr>
                <w:top w:val="none" w:sz="0" w:space="0" w:color="auto"/>
                <w:left w:val="none" w:sz="0" w:space="0" w:color="auto"/>
                <w:bottom w:val="none" w:sz="0" w:space="0" w:color="auto"/>
                <w:right w:val="none" w:sz="0" w:space="0" w:color="auto"/>
              </w:divBdr>
            </w:div>
            <w:div w:id="726955982">
              <w:marLeft w:val="0"/>
              <w:marRight w:val="0"/>
              <w:marTop w:val="0"/>
              <w:marBottom w:val="0"/>
              <w:divBdr>
                <w:top w:val="none" w:sz="0" w:space="0" w:color="auto"/>
                <w:left w:val="none" w:sz="0" w:space="0" w:color="auto"/>
                <w:bottom w:val="none" w:sz="0" w:space="0" w:color="auto"/>
                <w:right w:val="none" w:sz="0" w:space="0" w:color="auto"/>
              </w:divBdr>
            </w:div>
            <w:div w:id="851140991">
              <w:marLeft w:val="0"/>
              <w:marRight w:val="0"/>
              <w:marTop w:val="0"/>
              <w:marBottom w:val="0"/>
              <w:divBdr>
                <w:top w:val="none" w:sz="0" w:space="0" w:color="auto"/>
                <w:left w:val="none" w:sz="0" w:space="0" w:color="auto"/>
                <w:bottom w:val="none" w:sz="0" w:space="0" w:color="auto"/>
                <w:right w:val="none" w:sz="0" w:space="0" w:color="auto"/>
              </w:divBdr>
            </w:div>
            <w:div w:id="1919368364">
              <w:marLeft w:val="0"/>
              <w:marRight w:val="0"/>
              <w:marTop w:val="0"/>
              <w:marBottom w:val="0"/>
              <w:divBdr>
                <w:top w:val="none" w:sz="0" w:space="0" w:color="auto"/>
                <w:left w:val="none" w:sz="0" w:space="0" w:color="auto"/>
                <w:bottom w:val="none" w:sz="0" w:space="0" w:color="auto"/>
                <w:right w:val="none" w:sz="0" w:space="0" w:color="auto"/>
              </w:divBdr>
            </w:div>
            <w:div w:id="553660469">
              <w:marLeft w:val="0"/>
              <w:marRight w:val="0"/>
              <w:marTop w:val="0"/>
              <w:marBottom w:val="0"/>
              <w:divBdr>
                <w:top w:val="none" w:sz="0" w:space="0" w:color="auto"/>
                <w:left w:val="none" w:sz="0" w:space="0" w:color="auto"/>
                <w:bottom w:val="none" w:sz="0" w:space="0" w:color="auto"/>
                <w:right w:val="none" w:sz="0" w:space="0" w:color="auto"/>
              </w:divBdr>
            </w:div>
            <w:div w:id="1760449210">
              <w:marLeft w:val="0"/>
              <w:marRight w:val="0"/>
              <w:marTop w:val="0"/>
              <w:marBottom w:val="0"/>
              <w:divBdr>
                <w:top w:val="none" w:sz="0" w:space="0" w:color="auto"/>
                <w:left w:val="none" w:sz="0" w:space="0" w:color="auto"/>
                <w:bottom w:val="none" w:sz="0" w:space="0" w:color="auto"/>
                <w:right w:val="none" w:sz="0" w:space="0" w:color="auto"/>
              </w:divBdr>
            </w:div>
            <w:div w:id="1431513249">
              <w:marLeft w:val="0"/>
              <w:marRight w:val="0"/>
              <w:marTop w:val="0"/>
              <w:marBottom w:val="0"/>
              <w:divBdr>
                <w:top w:val="none" w:sz="0" w:space="0" w:color="auto"/>
                <w:left w:val="none" w:sz="0" w:space="0" w:color="auto"/>
                <w:bottom w:val="none" w:sz="0" w:space="0" w:color="auto"/>
                <w:right w:val="none" w:sz="0" w:space="0" w:color="auto"/>
              </w:divBdr>
            </w:div>
            <w:div w:id="1318609221">
              <w:marLeft w:val="0"/>
              <w:marRight w:val="0"/>
              <w:marTop w:val="0"/>
              <w:marBottom w:val="0"/>
              <w:divBdr>
                <w:top w:val="none" w:sz="0" w:space="0" w:color="auto"/>
                <w:left w:val="none" w:sz="0" w:space="0" w:color="auto"/>
                <w:bottom w:val="none" w:sz="0" w:space="0" w:color="auto"/>
                <w:right w:val="none" w:sz="0" w:space="0" w:color="auto"/>
              </w:divBdr>
            </w:div>
            <w:div w:id="1241871785">
              <w:marLeft w:val="0"/>
              <w:marRight w:val="0"/>
              <w:marTop w:val="0"/>
              <w:marBottom w:val="0"/>
              <w:divBdr>
                <w:top w:val="none" w:sz="0" w:space="0" w:color="auto"/>
                <w:left w:val="none" w:sz="0" w:space="0" w:color="auto"/>
                <w:bottom w:val="none" w:sz="0" w:space="0" w:color="auto"/>
                <w:right w:val="none" w:sz="0" w:space="0" w:color="auto"/>
              </w:divBdr>
            </w:div>
            <w:div w:id="2112895033">
              <w:marLeft w:val="0"/>
              <w:marRight w:val="0"/>
              <w:marTop w:val="0"/>
              <w:marBottom w:val="0"/>
              <w:divBdr>
                <w:top w:val="none" w:sz="0" w:space="0" w:color="auto"/>
                <w:left w:val="none" w:sz="0" w:space="0" w:color="auto"/>
                <w:bottom w:val="none" w:sz="0" w:space="0" w:color="auto"/>
                <w:right w:val="none" w:sz="0" w:space="0" w:color="auto"/>
              </w:divBdr>
            </w:div>
            <w:div w:id="237054035">
              <w:marLeft w:val="0"/>
              <w:marRight w:val="0"/>
              <w:marTop w:val="0"/>
              <w:marBottom w:val="0"/>
              <w:divBdr>
                <w:top w:val="none" w:sz="0" w:space="0" w:color="auto"/>
                <w:left w:val="none" w:sz="0" w:space="0" w:color="auto"/>
                <w:bottom w:val="none" w:sz="0" w:space="0" w:color="auto"/>
                <w:right w:val="none" w:sz="0" w:space="0" w:color="auto"/>
              </w:divBdr>
            </w:div>
            <w:div w:id="147596755">
              <w:marLeft w:val="0"/>
              <w:marRight w:val="0"/>
              <w:marTop w:val="0"/>
              <w:marBottom w:val="0"/>
              <w:divBdr>
                <w:top w:val="none" w:sz="0" w:space="0" w:color="auto"/>
                <w:left w:val="none" w:sz="0" w:space="0" w:color="auto"/>
                <w:bottom w:val="none" w:sz="0" w:space="0" w:color="auto"/>
                <w:right w:val="none" w:sz="0" w:space="0" w:color="auto"/>
              </w:divBdr>
            </w:div>
            <w:div w:id="500657717">
              <w:marLeft w:val="0"/>
              <w:marRight w:val="0"/>
              <w:marTop w:val="0"/>
              <w:marBottom w:val="0"/>
              <w:divBdr>
                <w:top w:val="none" w:sz="0" w:space="0" w:color="auto"/>
                <w:left w:val="none" w:sz="0" w:space="0" w:color="auto"/>
                <w:bottom w:val="none" w:sz="0" w:space="0" w:color="auto"/>
                <w:right w:val="none" w:sz="0" w:space="0" w:color="auto"/>
              </w:divBdr>
            </w:div>
            <w:div w:id="40793046">
              <w:marLeft w:val="0"/>
              <w:marRight w:val="0"/>
              <w:marTop w:val="0"/>
              <w:marBottom w:val="0"/>
              <w:divBdr>
                <w:top w:val="none" w:sz="0" w:space="0" w:color="auto"/>
                <w:left w:val="none" w:sz="0" w:space="0" w:color="auto"/>
                <w:bottom w:val="none" w:sz="0" w:space="0" w:color="auto"/>
                <w:right w:val="none" w:sz="0" w:space="0" w:color="auto"/>
              </w:divBdr>
            </w:div>
            <w:div w:id="1984188478">
              <w:marLeft w:val="0"/>
              <w:marRight w:val="0"/>
              <w:marTop w:val="0"/>
              <w:marBottom w:val="0"/>
              <w:divBdr>
                <w:top w:val="none" w:sz="0" w:space="0" w:color="auto"/>
                <w:left w:val="none" w:sz="0" w:space="0" w:color="auto"/>
                <w:bottom w:val="none" w:sz="0" w:space="0" w:color="auto"/>
                <w:right w:val="none" w:sz="0" w:space="0" w:color="auto"/>
              </w:divBdr>
            </w:div>
            <w:div w:id="1838231944">
              <w:marLeft w:val="0"/>
              <w:marRight w:val="0"/>
              <w:marTop w:val="0"/>
              <w:marBottom w:val="0"/>
              <w:divBdr>
                <w:top w:val="none" w:sz="0" w:space="0" w:color="auto"/>
                <w:left w:val="none" w:sz="0" w:space="0" w:color="auto"/>
                <w:bottom w:val="none" w:sz="0" w:space="0" w:color="auto"/>
                <w:right w:val="none" w:sz="0" w:space="0" w:color="auto"/>
              </w:divBdr>
            </w:div>
            <w:div w:id="844783786">
              <w:marLeft w:val="0"/>
              <w:marRight w:val="0"/>
              <w:marTop w:val="0"/>
              <w:marBottom w:val="0"/>
              <w:divBdr>
                <w:top w:val="none" w:sz="0" w:space="0" w:color="auto"/>
                <w:left w:val="none" w:sz="0" w:space="0" w:color="auto"/>
                <w:bottom w:val="none" w:sz="0" w:space="0" w:color="auto"/>
                <w:right w:val="none" w:sz="0" w:space="0" w:color="auto"/>
              </w:divBdr>
            </w:div>
            <w:div w:id="123811078">
              <w:marLeft w:val="0"/>
              <w:marRight w:val="0"/>
              <w:marTop w:val="0"/>
              <w:marBottom w:val="0"/>
              <w:divBdr>
                <w:top w:val="none" w:sz="0" w:space="0" w:color="auto"/>
                <w:left w:val="none" w:sz="0" w:space="0" w:color="auto"/>
                <w:bottom w:val="none" w:sz="0" w:space="0" w:color="auto"/>
                <w:right w:val="none" w:sz="0" w:space="0" w:color="auto"/>
              </w:divBdr>
            </w:div>
            <w:div w:id="932975040">
              <w:marLeft w:val="0"/>
              <w:marRight w:val="0"/>
              <w:marTop w:val="0"/>
              <w:marBottom w:val="0"/>
              <w:divBdr>
                <w:top w:val="none" w:sz="0" w:space="0" w:color="auto"/>
                <w:left w:val="none" w:sz="0" w:space="0" w:color="auto"/>
                <w:bottom w:val="none" w:sz="0" w:space="0" w:color="auto"/>
                <w:right w:val="none" w:sz="0" w:space="0" w:color="auto"/>
              </w:divBdr>
            </w:div>
            <w:div w:id="153111001">
              <w:marLeft w:val="0"/>
              <w:marRight w:val="0"/>
              <w:marTop w:val="0"/>
              <w:marBottom w:val="0"/>
              <w:divBdr>
                <w:top w:val="none" w:sz="0" w:space="0" w:color="auto"/>
                <w:left w:val="none" w:sz="0" w:space="0" w:color="auto"/>
                <w:bottom w:val="none" w:sz="0" w:space="0" w:color="auto"/>
                <w:right w:val="none" w:sz="0" w:space="0" w:color="auto"/>
              </w:divBdr>
            </w:div>
            <w:div w:id="954559126">
              <w:marLeft w:val="0"/>
              <w:marRight w:val="0"/>
              <w:marTop w:val="0"/>
              <w:marBottom w:val="0"/>
              <w:divBdr>
                <w:top w:val="none" w:sz="0" w:space="0" w:color="auto"/>
                <w:left w:val="none" w:sz="0" w:space="0" w:color="auto"/>
                <w:bottom w:val="none" w:sz="0" w:space="0" w:color="auto"/>
                <w:right w:val="none" w:sz="0" w:space="0" w:color="auto"/>
              </w:divBdr>
            </w:div>
            <w:div w:id="789934772">
              <w:marLeft w:val="0"/>
              <w:marRight w:val="0"/>
              <w:marTop w:val="0"/>
              <w:marBottom w:val="0"/>
              <w:divBdr>
                <w:top w:val="none" w:sz="0" w:space="0" w:color="auto"/>
                <w:left w:val="none" w:sz="0" w:space="0" w:color="auto"/>
                <w:bottom w:val="none" w:sz="0" w:space="0" w:color="auto"/>
                <w:right w:val="none" w:sz="0" w:space="0" w:color="auto"/>
              </w:divBdr>
            </w:div>
            <w:div w:id="50622226">
              <w:marLeft w:val="0"/>
              <w:marRight w:val="0"/>
              <w:marTop w:val="0"/>
              <w:marBottom w:val="0"/>
              <w:divBdr>
                <w:top w:val="none" w:sz="0" w:space="0" w:color="auto"/>
                <w:left w:val="none" w:sz="0" w:space="0" w:color="auto"/>
                <w:bottom w:val="none" w:sz="0" w:space="0" w:color="auto"/>
                <w:right w:val="none" w:sz="0" w:space="0" w:color="auto"/>
              </w:divBdr>
            </w:div>
            <w:div w:id="786432117">
              <w:marLeft w:val="0"/>
              <w:marRight w:val="0"/>
              <w:marTop w:val="0"/>
              <w:marBottom w:val="0"/>
              <w:divBdr>
                <w:top w:val="none" w:sz="0" w:space="0" w:color="auto"/>
                <w:left w:val="none" w:sz="0" w:space="0" w:color="auto"/>
                <w:bottom w:val="none" w:sz="0" w:space="0" w:color="auto"/>
                <w:right w:val="none" w:sz="0" w:space="0" w:color="auto"/>
              </w:divBdr>
            </w:div>
            <w:div w:id="2108185571">
              <w:marLeft w:val="0"/>
              <w:marRight w:val="0"/>
              <w:marTop w:val="0"/>
              <w:marBottom w:val="0"/>
              <w:divBdr>
                <w:top w:val="none" w:sz="0" w:space="0" w:color="auto"/>
                <w:left w:val="none" w:sz="0" w:space="0" w:color="auto"/>
                <w:bottom w:val="none" w:sz="0" w:space="0" w:color="auto"/>
                <w:right w:val="none" w:sz="0" w:space="0" w:color="auto"/>
              </w:divBdr>
            </w:div>
            <w:div w:id="888880939">
              <w:marLeft w:val="0"/>
              <w:marRight w:val="0"/>
              <w:marTop w:val="0"/>
              <w:marBottom w:val="0"/>
              <w:divBdr>
                <w:top w:val="none" w:sz="0" w:space="0" w:color="auto"/>
                <w:left w:val="none" w:sz="0" w:space="0" w:color="auto"/>
                <w:bottom w:val="none" w:sz="0" w:space="0" w:color="auto"/>
                <w:right w:val="none" w:sz="0" w:space="0" w:color="auto"/>
              </w:divBdr>
            </w:div>
            <w:div w:id="1724791337">
              <w:marLeft w:val="0"/>
              <w:marRight w:val="0"/>
              <w:marTop w:val="0"/>
              <w:marBottom w:val="0"/>
              <w:divBdr>
                <w:top w:val="none" w:sz="0" w:space="0" w:color="auto"/>
                <w:left w:val="none" w:sz="0" w:space="0" w:color="auto"/>
                <w:bottom w:val="none" w:sz="0" w:space="0" w:color="auto"/>
                <w:right w:val="none" w:sz="0" w:space="0" w:color="auto"/>
              </w:divBdr>
            </w:div>
            <w:div w:id="1606690246">
              <w:marLeft w:val="0"/>
              <w:marRight w:val="0"/>
              <w:marTop w:val="0"/>
              <w:marBottom w:val="0"/>
              <w:divBdr>
                <w:top w:val="none" w:sz="0" w:space="0" w:color="auto"/>
                <w:left w:val="none" w:sz="0" w:space="0" w:color="auto"/>
                <w:bottom w:val="none" w:sz="0" w:space="0" w:color="auto"/>
                <w:right w:val="none" w:sz="0" w:space="0" w:color="auto"/>
              </w:divBdr>
            </w:div>
            <w:div w:id="9188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sogastecnici.federchimica.it/agt/Home.nsf/0/9F7AE7DA32C251DDC12573FA003E2308/$FILE/Linee%20Guida%20ADR%202009.pdf" TargetMode="External"/><Relationship Id="rId13" Type="http://schemas.openxmlformats.org/officeDocument/2006/relationships/hyperlink" Target="http://www.puntosicuro.it/it/banca-dati-sicurezza-sul-lavoro/view_bd/?iIdArt=51552" TargetMode="External"/><Relationship Id="rId18" Type="http://schemas.openxmlformats.org/officeDocument/2006/relationships/hyperlink" Target="http://www.puntosicuro.it/it/ps/view/sostanze-chimiche-regolamento-clp-regole-scadenze-sicurezza-art-10185.ph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puntosicuro.it/it/ps/view/il-rischio-chimico-in-edilizia-i-dpi-per-le-vie-respiratorie-art-10200.php" TargetMode="External"/><Relationship Id="rId7" Type="http://schemas.openxmlformats.org/officeDocument/2006/relationships/hyperlink" Target="http://www.puntosicuro.it/italian/index.php?sViewMag=articolo&amp;iIdArticolo=6686" TargetMode="External"/><Relationship Id="rId12" Type="http://schemas.openxmlformats.org/officeDocument/2006/relationships/hyperlink" Target="http://www.puntosicuro.it/italian/Autotrasporto_fattori_di_rischio_e_progetti_di_prevenzione-art-9174.php" TargetMode="External"/><Relationship Id="rId17" Type="http://schemas.openxmlformats.org/officeDocument/2006/relationships/hyperlink" Target="http://www.puntosicuro.it/italian/index.php?sViewMag=articolo&amp;iIdArticolo=814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untosicuro.it/it/ps/view/le-novita-nelle-etichette-schede-di-sicurezza-per-i-gas-puri-art-10246.php" TargetMode="External"/><Relationship Id="rId20" Type="http://schemas.openxmlformats.org/officeDocument/2006/relationships/hyperlink" Target="http://www.puntosicuro.it/it/ps/view/procedure-aziendali-gestione-dei-dpi-della-formazione-art-10227.php" TargetMode="External"/><Relationship Id="rId1" Type="http://schemas.openxmlformats.org/officeDocument/2006/relationships/styles" Target="styles.xml"/><Relationship Id="rId6" Type="http://schemas.openxmlformats.org/officeDocument/2006/relationships/hyperlink" Target="http://assogastecnici.federchimica.it/Agt/home.nsf/GlobalHome?OpenForm" TargetMode="External"/><Relationship Id="rId11" Type="http://schemas.openxmlformats.org/officeDocument/2006/relationships/hyperlink" Target="http://www.megaitaliamedia.com/modelli-dvr-C-10/trasporto-S-19/dvr-sicurezza-autotrasporti-P-4277.php" TargetMode="External"/><Relationship Id="rId24" Type="http://schemas.openxmlformats.org/officeDocument/2006/relationships/hyperlink" Target="http://www.puntosicuro.it/it/banca-dati-sicurezza-sul-lavoro/view_bd/?iIdArt=54220" TargetMode="External"/><Relationship Id="rId5" Type="http://schemas.openxmlformats.org/officeDocument/2006/relationships/hyperlink" Target="http://www.puntosicuro.it/it/ps/view/trasporto-di-merci-pericolose-recepimento-dell%60adr-2005-art-5446.php" TargetMode="External"/><Relationship Id="rId15" Type="http://schemas.openxmlformats.org/officeDocument/2006/relationships/hyperlink" Target="http://www.puntosicuro.it/italian/Trasporto_merci_su_strada_sicurezza_e_prevenzione_degli-art-10161.php" TargetMode="External"/><Relationship Id="rId23" Type="http://schemas.openxmlformats.org/officeDocument/2006/relationships/hyperlink" Target="http://www.puntosicuro.it/italian/index.php?sViewMag=articolo&amp;iIdArticolo=8259" TargetMode="External"/><Relationship Id="rId10" Type="http://schemas.openxmlformats.org/officeDocument/2006/relationships/image" Target="media/image1.jpeg"/><Relationship Id="rId19" Type="http://schemas.openxmlformats.org/officeDocument/2006/relationships/hyperlink" Target="http://www.puntosicuro.it/italian/index.php?sViewMag=articolo&amp;iIdArticolo=8900" TargetMode="External"/><Relationship Id="rId4" Type="http://schemas.openxmlformats.org/officeDocument/2006/relationships/hyperlink" Target="http://www.puntosicuro.it/it/ps/view/trasporto-merci-su-strada-una-check-list-per-la-prevenzione-art-10178.php" TargetMode="External"/><Relationship Id="rId9" Type="http://schemas.openxmlformats.org/officeDocument/2006/relationships/hyperlink" Target="http://www.megaitaliamedia.com/modelli-dvr-C-10/trasporto-S-19/dvr-sicurezza-autotrasporti-P-4277.php" TargetMode="External"/><Relationship Id="rId14" Type="http://schemas.openxmlformats.org/officeDocument/2006/relationships/hyperlink" Target="http://www.puntosicuro.it/italian/Imparare_dagli_errori_errori_procedurali_nel_carico_e-art-9603.php" TargetMode="External"/><Relationship Id="rId22" Type="http://schemas.openxmlformats.org/officeDocument/2006/relationships/hyperlink" Target="http://www.puntosicuro.it/it/ps/view/imparare-dagli-errori-presenza-di-gas-inerti-carenza-d-ossigeno-art-10002.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1333</Words>
  <Characters>7599</Characters>
  <Application>Microsoft Office Word</Application>
  <DocSecurity>0</DocSecurity>
  <Lines>63</Lines>
  <Paragraphs>17</Paragraphs>
  <ScaleCrop>false</ScaleCrop>
  <Company>TOSHIBA</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cp:revision>
  <dcterms:created xsi:type="dcterms:W3CDTF">2012-03-16T20:14:00Z</dcterms:created>
  <dcterms:modified xsi:type="dcterms:W3CDTF">2012-03-16T20:14:00Z</dcterms:modified>
</cp:coreProperties>
</file>